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DFC3C" w14:textId="7CDDCC1A" w:rsidR="00C1618C" w:rsidRDefault="00A55F9F" w:rsidP="00E81AD9">
      <w:pPr>
        <w:spacing w:line="360" w:lineRule="auto"/>
        <w:jc w:val="center"/>
        <w:rPr>
          <w:b/>
          <w:bCs/>
        </w:rPr>
      </w:pPr>
      <w:r w:rsidRPr="00E81AD9">
        <w:rPr>
          <w:b/>
          <w:bCs/>
        </w:rPr>
        <w:t>CASE ANALYSIS: KIHOTA HOLLOHON V. ZACHILLHU, AIR 1993 SC 412</w:t>
      </w:r>
    </w:p>
    <w:p w14:paraId="79DAEE84" w14:textId="7D8710EA" w:rsidR="00606248" w:rsidRPr="00E81AD9" w:rsidRDefault="00606248" w:rsidP="00606248">
      <w:pPr>
        <w:spacing w:line="360" w:lineRule="auto"/>
        <w:jc w:val="right"/>
        <w:rPr>
          <w:b/>
          <w:bCs/>
        </w:rPr>
      </w:pPr>
      <w:r>
        <w:rPr>
          <w:b/>
          <w:bCs/>
        </w:rPr>
        <w:t>BHOOMI JAIN</w:t>
      </w:r>
      <w:r w:rsidR="00B86C71">
        <w:rPr>
          <w:rStyle w:val="FootnoteReference"/>
          <w:b/>
          <w:bCs/>
        </w:rPr>
        <w:footnoteReference w:id="1"/>
      </w:r>
    </w:p>
    <w:p w14:paraId="61E364A3" w14:textId="77777777" w:rsidR="00A55F9F" w:rsidRPr="00E81AD9" w:rsidRDefault="00A55F9F" w:rsidP="00E81AD9">
      <w:pPr>
        <w:spacing w:line="360" w:lineRule="auto"/>
        <w:jc w:val="center"/>
        <w:rPr>
          <w:b/>
          <w:bCs/>
        </w:rPr>
      </w:pPr>
    </w:p>
    <w:p w14:paraId="59C04B67" w14:textId="49003E6C" w:rsidR="00A55F9F" w:rsidRPr="00E81AD9" w:rsidRDefault="005664B6" w:rsidP="00E81AD9">
      <w:pPr>
        <w:pStyle w:val="ListParagraph"/>
        <w:numPr>
          <w:ilvl w:val="0"/>
          <w:numId w:val="1"/>
        </w:numPr>
        <w:spacing w:line="360" w:lineRule="auto"/>
        <w:jc w:val="both"/>
        <w:rPr>
          <w:b/>
          <w:bCs/>
        </w:rPr>
      </w:pPr>
      <w:r w:rsidRPr="00E81AD9">
        <w:rPr>
          <w:b/>
          <w:bCs/>
        </w:rPr>
        <w:t xml:space="preserve">BACKGROUND AND FACTS OF THE CASE </w:t>
      </w:r>
    </w:p>
    <w:p w14:paraId="720F2D57" w14:textId="016AD017" w:rsidR="00A55F9F" w:rsidRPr="00E81AD9" w:rsidRDefault="00A55F9F" w:rsidP="00E81AD9">
      <w:pPr>
        <w:spacing w:line="360" w:lineRule="auto"/>
        <w:jc w:val="both"/>
      </w:pPr>
      <w:r w:rsidRPr="00E81AD9">
        <w:t>A written document that contains laws, rules, and regulations to govern a nation is called a constitution. The Indian Constitution is regarded as the ultimate or "</w:t>
      </w:r>
      <w:proofErr w:type="spellStart"/>
      <w:r w:rsidRPr="00E81AD9">
        <w:t>grundnorm</w:t>
      </w:r>
      <w:proofErr w:type="spellEnd"/>
      <w:r w:rsidRPr="00E81AD9">
        <w:t xml:space="preserve">" law of the land. Assuring individual dignity and national unity and integrity, its preamble discusses democratic polity, justice, liberty, equality, and fraternity. It is claimed that the Preamble was taken from Nehru's ideas, which served as the foundation for the constitution's creation. Political actors quickly manipulated Indian framers of the constitution after it was drafted. The nation saw a decline in political morality and the regrettable expansion of various forms of political corruption after Nehru's departure. The three branches of government were weakened by the disorderly floor crossing, which was a blow to the electoral system. These defections were motivated by a desire for wealth, status, and power. It was noted that political cultural processes are severely impacted when socioeconomic processes are disrupted. Therefore, it was discouraged, and the 1973 and 1978 Constitutional Amendment Bills attempted to eliminate it. However, the government's effort to win over the opposition proved successful in early 1985, and the Parliament passed the Constitution (Fifty-Second Amendment) Act, which forbade defections in order to preserve democracy. </w:t>
      </w:r>
    </w:p>
    <w:p w14:paraId="374890EC" w14:textId="2BCE2833" w:rsidR="00A55F9F" w:rsidRPr="00E81AD9" w:rsidRDefault="005664B6" w:rsidP="00E81AD9">
      <w:pPr>
        <w:pStyle w:val="ListParagraph"/>
        <w:numPr>
          <w:ilvl w:val="0"/>
          <w:numId w:val="1"/>
        </w:numPr>
        <w:spacing w:line="360" w:lineRule="auto"/>
        <w:jc w:val="both"/>
        <w:rPr>
          <w:b/>
          <w:bCs/>
        </w:rPr>
      </w:pPr>
      <w:r w:rsidRPr="00E81AD9">
        <w:rPr>
          <w:b/>
          <w:bCs/>
        </w:rPr>
        <w:t>INTRODUCTION</w:t>
      </w:r>
    </w:p>
    <w:p w14:paraId="5F8A8DA5" w14:textId="77777777" w:rsidR="00A55F9F" w:rsidRPr="00E81AD9" w:rsidRDefault="00A55F9F" w:rsidP="00E81AD9">
      <w:pPr>
        <w:pStyle w:val="ListParagraph"/>
        <w:spacing w:line="360" w:lineRule="auto"/>
        <w:jc w:val="both"/>
      </w:pPr>
    </w:p>
    <w:p w14:paraId="1DEB9453" w14:textId="434235F0" w:rsidR="00A55F9F" w:rsidRPr="00E81AD9" w:rsidRDefault="00A55F9F" w:rsidP="00E81AD9">
      <w:pPr>
        <w:pStyle w:val="ListParagraph"/>
        <w:numPr>
          <w:ilvl w:val="0"/>
          <w:numId w:val="2"/>
        </w:numPr>
        <w:spacing w:line="360" w:lineRule="auto"/>
        <w:jc w:val="both"/>
      </w:pPr>
      <w:r w:rsidRPr="00E81AD9">
        <w:t xml:space="preserve">The anti-defection law was argued to be incompatible with freedom of speech, dissent, and conscience in the </w:t>
      </w:r>
      <w:proofErr w:type="spellStart"/>
      <w:r w:rsidRPr="00E81AD9">
        <w:t>Kihoto</w:t>
      </w:r>
      <w:proofErr w:type="spellEnd"/>
      <w:r w:rsidRPr="00E81AD9">
        <w:t xml:space="preserve"> </w:t>
      </w:r>
      <w:proofErr w:type="spellStart"/>
      <w:r w:rsidRPr="00E81AD9">
        <w:t>Hollohan</w:t>
      </w:r>
      <w:proofErr w:type="spellEnd"/>
      <w:r w:rsidRPr="00E81AD9">
        <w:t xml:space="preserve"> v. </w:t>
      </w:r>
      <w:proofErr w:type="spellStart"/>
      <w:r w:rsidRPr="00E81AD9">
        <w:t>Zachillhu</w:t>
      </w:r>
      <w:proofErr w:type="spellEnd"/>
      <w:r w:rsidRPr="00E81AD9">
        <w:t xml:space="preserve"> case. The Supreme Court came to the conclusion that the statute is meant to deal with unprincipled defections that are not covered by intellectual liberty, freedom of conscience, or the right to dissent. Therefore, even though this rule has some unexpected consequences, it is essential in today's world when discussing political matters. A few issues and queries brought up by this law are addressed in the ruling in </w:t>
      </w:r>
      <w:proofErr w:type="spellStart"/>
      <w:r w:rsidRPr="00E81AD9">
        <w:t>Kihoto</w:t>
      </w:r>
      <w:proofErr w:type="spellEnd"/>
      <w:r w:rsidRPr="00E81AD9">
        <w:t xml:space="preserve"> </w:t>
      </w:r>
      <w:proofErr w:type="spellStart"/>
      <w:r w:rsidRPr="00E81AD9">
        <w:t>Hollohon</w:t>
      </w:r>
      <w:proofErr w:type="spellEnd"/>
      <w:r w:rsidRPr="00E81AD9">
        <w:t xml:space="preserve"> vs. </w:t>
      </w:r>
      <w:proofErr w:type="spellStart"/>
      <w:r w:rsidRPr="00E81AD9">
        <w:t>Zachillhu</w:t>
      </w:r>
      <w:proofErr w:type="spellEnd"/>
      <w:r w:rsidRPr="00E81AD9">
        <w:t xml:space="preserve"> and others. The court later ruled that neither the </w:t>
      </w:r>
      <w:r w:rsidRPr="00E81AD9">
        <w:lastRenderedPageBreak/>
        <w:t>fundamental framework of the parliamentary popular government nor any free speech rights were violated by the law.</w:t>
      </w:r>
    </w:p>
    <w:p w14:paraId="72E16B42" w14:textId="77777777" w:rsidR="00A55F9F" w:rsidRPr="00E81AD9" w:rsidRDefault="00A55F9F" w:rsidP="00E81AD9">
      <w:pPr>
        <w:spacing w:line="360" w:lineRule="auto"/>
        <w:jc w:val="both"/>
      </w:pPr>
    </w:p>
    <w:p w14:paraId="12240724" w14:textId="05F811CF" w:rsidR="00A55F9F" w:rsidRPr="00E81AD9" w:rsidRDefault="00A55F9F" w:rsidP="00E81AD9">
      <w:pPr>
        <w:pStyle w:val="ListParagraph"/>
        <w:numPr>
          <w:ilvl w:val="0"/>
          <w:numId w:val="2"/>
        </w:numPr>
        <w:spacing w:line="360" w:lineRule="auto"/>
        <w:jc w:val="both"/>
      </w:pPr>
      <w:r w:rsidRPr="00E81AD9">
        <w:t xml:space="preserve">The court made it clear that the managing official holds sole authority in the selection process. That final decision depends on a legal review after the selection takes shape and has its effects. </w:t>
      </w:r>
    </w:p>
    <w:p w14:paraId="792CA0B7" w14:textId="77777777" w:rsidR="00A55F9F" w:rsidRPr="00E81AD9" w:rsidRDefault="00A55F9F" w:rsidP="00E81AD9">
      <w:pPr>
        <w:spacing w:line="360" w:lineRule="auto"/>
        <w:jc w:val="both"/>
      </w:pPr>
    </w:p>
    <w:p w14:paraId="534EF75F" w14:textId="07DD0E8B" w:rsidR="00A55F9F" w:rsidRPr="00E81AD9" w:rsidRDefault="00A55F9F" w:rsidP="00E81AD9">
      <w:pPr>
        <w:pStyle w:val="ListParagraph"/>
        <w:numPr>
          <w:ilvl w:val="0"/>
          <w:numId w:val="2"/>
        </w:numPr>
        <w:spacing w:line="360" w:lineRule="auto"/>
        <w:jc w:val="both"/>
      </w:pPr>
      <w:r w:rsidRPr="00E81AD9">
        <w:t>In the case of Ravi S. Naik v. Union of India</w:t>
      </w:r>
      <w:r w:rsidR="00AB5999">
        <w:rPr>
          <w:rStyle w:val="FootnoteReference"/>
        </w:rPr>
        <w:footnoteReference w:id="2"/>
      </w:r>
      <w:r w:rsidRPr="00E81AD9">
        <w:t xml:space="preserve">, the ruling pointed out that deliberately leaving membership carries more weight than other factors. Evidence from the member's own rules suggests a voluntary giving up of party ties. The court turned down the idea that ignoring disqualification rules amounts to breaking constitutional duties. Raising those rules to the level of the constitution itself seems like something to avoid. After all, the Speaker created those disqualification guidelines under Article VIII powers. </w:t>
      </w:r>
      <w:proofErr w:type="gramStart"/>
      <w:r w:rsidRPr="00E81AD9">
        <w:t>So</w:t>
      </w:r>
      <w:proofErr w:type="gramEnd"/>
      <w:r w:rsidRPr="00E81AD9">
        <w:t xml:space="preserve"> they do not match up with actual constitutional ones.</w:t>
      </w:r>
    </w:p>
    <w:p w14:paraId="3A76D851" w14:textId="77777777" w:rsidR="00A55F9F" w:rsidRPr="00E81AD9" w:rsidRDefault="00A55F9F" w:rsidP="00E81AD9">
      <w:pPr>
        <w:pStyle w:val="ListParagraph"/>
        <w:spacing w:line="360" w:lineRule="auto"/>
        <w:rPr>
          <w:b/>
          <w:bCs/>
        </w:rPr>
      </w:pPr>
    </w:p>
    <w:p w14:paraId="0AB41ADA" w14:textId="6A27F287" w:rsidR="00A55F9F" w:rsidRPr="00E81AD9" w:rsidRDefault="005664B6" w:rsidP="00E81AD9">
      <w:pPr>
        <w:pStyle w:val="ListParagraph"/>
        <w:numPr>
          <w:ilvl w:val="0"/>
          <w:numId w:val="1"/>
        </w:numPr>
        <w:spacing w:line="360" w:lineRule="auto"/>
        <w:jc w:val="both"/>
        <w:rPr>
          <w:b/>
          <w:bCs/>
        </w:rPr>
      </w:pPr>
      <w:r w:rsidRPr="00E81AD9">
        <w:rPr>
          <w:b/>
          <w:bCs/>
        </w:rPr>
        <w:t>FACTS OF THE CASE</w:t>
      </w:r>
    </w:p>
    <w:p w14:paraId="1393513C" w14:textId="77777777" w:rsidR="00520981" w:rsidRPr="00E81AD9" w:rsidRDefault="00A55F9F" w:rsidP="00E81AD9">
      <w:pPr>
        <w:spacing w:line="360" w:lineRule="auto"/>
        <w:jc w:val="both"/>
      </w:pPr>
      <w:r w:rsidRPr="00E81AD9">
        <w:t xml:space="preserve">Several petitions surfaced simultaneously during this period. </w:t>
      </w:r>
    </w:p>
    <w:p w14:paraId="3E9E8819" w14:textId="77777777" w:rsidR="00520981" w:rsidRPr="00E81AD9" w:rsidRDefault="00A55F9F" w:rsidP="00E81AD9">
      <w:pPr>
        <w:spacing w:line="360" w:lineRule="auto"/>
        <w:jc w:val="both"/>
      </w:pPr>
      <w:r w:rsidRPr="00E81AD9">
        <w:t xml:space="preserve">The landmark case of </w:t>
      </w:r>
      <w:proofErr w:type="spellStart"/>
      <w:r w:rsidRPr="00E81AD9">
        <w:t>Kihota</w:t>
      </w:r>
      <w:proofErr w:type="spellEnd"/>
      <w:r w:rsidRPr="00E81AD9">
        <w:t xml:space="preserve"> </w:t>
      </w:r>
      <w:proofErr w:type="spellStart"/>
      <w:r w:rsidRPr="00E81AD9">
        <w:t>Hollohon</w:t>
      </w:r>
      <w:proofErr w:type="spellEnd"/>
      <w:r w:rsidRPr="00E81AD9">
        <w:t xml:space="preserve"> versus </w:t>
      </w:r>
      <w:proofErr w:type="spellStart"/>
      <w:r w:rsidRPr="00E81AD9">
        <w:t>Zachilhu</w:t>
      </w:r>
      <w:proofErr w:type="spellEnd"/>
      <w:r w:rsidRPr="00E81AD9">
        <w:t xml:space="preserve"> and others directly contested the legitimacy of the Tenth Schedule. This provision emerged from the Constitution Fifty-second Amendment Act of 1985. That legislation effectively substituted key constitutional articles with the new schedule. Those articles included 101(3)(a), 102(2), and 190(3)(a). </w:t>
      </w:r>
    </w:p>
    <w:p w14:paraId="11638989" w14:textId="6BB95463" w:rsidR="00520981" w:rsidRPr="00E81AD9" w:rsidRDefault="00A55F9F" w:rsidP="00E81AD9">
      <w:pPr>
        <w:spacing w:line="360" w:lineRule="auto"/>
        <w:jc w:val="both"/>
      </w:pPr>
      <w:r w:rsidRPr="00E81AD9">
        <w:t xml:space="preserve">In a closely divided ruling of </w:t>
      </w:r>
      <w:r w:rsidR="00520981" w:rsidRPr="00E81AD9">
        <w:t>3:2</w:t>
      </w:r>
      <w:r w:rsidRPr="00E81AD9">
        <w:t xml:space="preserve">, the Supreme Court affirmed the constitutional validity of the Anti-Defection Law. The majority opinion came from Justices M.N. Venkatachaliah, K.J. Reddy, and S.C. Agrawal. Justices L.M. Sharma and J.S. Verma expressed dissenting views. </w:t>
      </w:r>
    </w:p>
    <w:p w14:paraId="338BA1E5" w14:textId="62D7F1C9" w:rsidR="00A55F9F" w:rsidRPr="00E81AD9" w:rsidRDefault="00A55F9F" w:rsidP="00E81AD9">
      <w:pPr>
        <w:spacing w:line="360" w:lineRule="auto"/>
        <w:jc w:val="both"/>
      </w:pPr>
      <w:r w:rsidRPr="00E81AD9">
        <w:lastRenderedPageBreak/>
        <w:t>Concurrently, the Court established that orders issued by the Speaker under this framework. Such orders disqualify members of legislative assemblies for defection. These decisions remain open to judicial scrutiny.</w:t>
      </w:r>
    </w:p>
    <w:p w14:paraId="2592A260" w14:textId="278AE849" w:rsidR="00520981" w:rsidRPr="00E81AD9" w:rsidRDefault="005664B6" w:rsidP="00E81AD9">
      <w:pPr>
        <w:pStyle w:val="ListParagraph"/>
        <w:numPr>
          <w:ilvl w:val="0"/>
          <w:numId w:val="1"/>
        </w:numPr>
        <w:spacing w:line="360" w:lineRule="auto"/>
        <w:jc w:val="both"/>
        <w:rPr>
          <w:b/>
          <w:bCs/>
        </w:rPr>
      </w:pPr>
      <w:r w:rsidRPr="00E81AD9">
        <w:rPr>
          <w:b/>
          <w:bCs/>
        </w:rPr>
        <w:t xml:space="preserve">LEGAL ISSUES RAISED </w:t>
      </w:r>
    </w:p>
    <w:p w14:paraId="390E8FFC" w14:textId="77777777" w:rsidR="00520981" w:rsidRPr="00E81AD9" w:rsidRDefault="00520981" w:rsidP="00E81AD9">
      <w:pPr>
        <w:pStyle w:val="ListParagraph"/>
        <w:numPr>
          <w:ilvl w:val="0"/>
          <w:numId w:val="3"/>
        </w:numPr>
        <w:spacing w:line="360" w:lineRule="auto"/>
        <w:jc w:val="both"/>
      </w:pPr>
      <w:r w:rsidRPr="00E81AD9">
        <w:t xml:space="preserve">The extent to which the Speaker's broad powers are appropriate remains a matter of debate. These powers appear justified only in situations involving a reasonable chance of prejudice. </w:t>
      </w:r>
    </w:p>
    <w:p w14:paraId="3B134B8E" w14:textId="77777777" w:rsidR="00520981" w:rsidRPr="00E81AD9" w:rsidRDefault="00520981" w:rsidP="00E81AD9">
      <w:pPr>
        <w:pStyle w:val="ListParagraph"/>
        <w:numPr>
          <w:ilvl w:val="0"/>
          <w:numId w:val="3"/>
        </w:numPr>
        <w:spacing w:line="360" w:lineRule="auto"/>
        <w:jc w:val="both"/>
      </w:pPr>
      <w:r w:rsidRPr="00E81AD9">
        <w:t xml:space="preserve">Modifications to the 52nd Amendment raise questions about their constitutional validity. Evidence indicates that such changes could face scrutiny under established legal principles. </w:t>
      </w:r>
    </w:p>
    <w:p w14:paraId="1A3C264F" w14:textId="77777777" w:rsidR="00520981" w:rsidRPr="00E81AD9" w:rsidRDefault="00520981" w:rsidP="00E81AD9">
      <w:pPr>
        <w:pStyle w:val="ListParagraph"/>
        <w:numPr>
          <w:ilvl w:val="0"/>
          <w:numId w:val="3"/>
        </w:numPr>
        <w:spacing w:line="360" w:lineRule="auto"/>
        <w:jc w:val="both"/>
      </w:pPr>
      <w:r w:rsidRPr="00E81AD9">
        <w:t xml:space="preserve">Judicial review's availability prior to a decision by the Speaker or Chairman warrants careful examination. Studies on parliamentary procedures suggest that </w:t>
      </w:r>
      <w:proofErr w:type="spellStart"/>
      <w:r w:rsidRPr="00E81AD9">
        <w:t>preemptive</w:t>
      </w:r>
      <w:proofErr w:type="spellEnd"/>
      <w:r w:rsidRPr="00E81AD9">
        <w:t xml:space="preserve"> review might not always apply in these contexts. </w:t>
      </w:r>
    </w:p>
    <w:p w14:paraId="7C811F18" w14:textId="6E464E71" w:rsidR="00520981" w:rsidRPr="00E81AD9" w:rsidRDefault="00520981" w:rsidP="00E81AD9">
      <w:pPr>
        <w:pStyle w:val="ListParagraph"/>
        <w:numPr>
          <w:ilvl w:val="0"/>
          <w:numId w:val="3"/>
        </w:numPr>
        <w:spacing w:line="360" w:lineRule="auto"/>
        <w:jc w:val="both"/>
      </w:pPr>
      <w:r w:rsidRPr="00E81AD9">
        <w:t>The applicability of judicial review to the rules in the Tenth Schedule also merits consideration. It seems possible that these rules fall outside standard review mechanisms.</w:t>
      </w:r>
    </w:p>
    <w:p w14:paraId="52508A11" w14:textId="77777777" w:rsidR="00520981" w:rsidRPr="00E81AD9" w:rsidRDefault="00520981" w:rsidP="00E81AD9">
      <w:pPr>
        <w:pStyle w:val="ListParagraph"/>
        <w:spacing w:line="360" w:lineRule="auto"/>
        <w:jc w:val="both"/>
      </w:pPr>
    </w:p>
    <w:p w14:paraId="7CF4804F" w14:textId="05ADD6AD" w:rsidR="00520981" w:rsidRPr="00E81AD9" w:rsidRDefault="005664B6" w:rsidP="00E81AD9">
      <w:pPr>
        <w:pStyle w:val="ListParagraph"/>
        <w:numPr>
          <w:ilvl w:val="0"/>
          <w:numId w:val="1"/>
        </w:numPr>
        <w:spacing w:line="360" w:lineRule="auto"/>
        <w:jc w:val="both"/>
        <w:rPr>
          <w:b/>
          <w:bCs/>
        </w:rPr>
      </w:pPr>
      <w:r w:rsidRPr="00E81AD9">
        <w:rPr>
          <w:b/>
          <w:bCs/>
        </w:rPr>
        <w:t>ARGUMENTS OF THE PETITIONER</w:t>
      </w:r>
    </w:p>
    <w:p w14:paraId="643CD225" w14:textId="4A3C07A9" w:rsidR="00520981" w:rsidRPr="00E81AD9" w:rsidRDefault="00520981" w:rsidP="00E81AD9">
      <w:pPr>
        <w:spacing w:line="360" w:lineRule="auto"/>
        <w:jc w:val="both"/>
      </w:pPr>
      <w:r w:rsidRPr="00E81AD9">
        <w:t>The petitioners argued that each member of Parliament should possess the freedom to exercise personal judgment and conviction. This freedom need not align strictly with party policies. Such a principle forms the foundation of parliamentary democracy. It encompasses freedom of speech, the right to dissent, and freedom of conscience.</w:t>
      </w:r>
    </w:p>
    <w:p w14:paraId="759A82CC" w14:textId="7BFEC724" w:rsidR="00520981" w:rsidRPr="00E81AD9" w:rsidRDefault="00520981" w:rsidP="00E81AD9">
      <w:pPr>
        <w:spacing w:line="360" w:lineRule="auto"/>
        <w:jc w:val="both"/>
      </w:pPr>
      <w:r w:rsidRPr="00E81AD9">
        <w:t>The right of a parliamentarian to speak freely remains subject to reasonable limitations. It does not constitute an absolute privilege. Article 105(2) of the Constitution safeguards this right to freedom of speech within the House. As Shri Sharma emphasized while representing the petitioners, this provision holds precedence even over the fundamental right under Article 19(1)(a). Political defections motivated by desires for power or financial gain qualify as corrupt practices. Consequently, they fall outside the scope of parliamentary immunity extended to members.</w:t>
      </w:r>
    </w:p>
    <w:p w14:paraId="57E00B03" w14:textId="782AADBB" w:rsidR="00520981" w:rsidRPr="00E81AD9" w:rsidRDefault="00520981" w:rsidP="00E81AD9">
      <w:pPr>
        <w:spacing w:line="360" w:lineRule="auto"/>
        <w:jc w:val="both"/>
      </w:pPr>
      <w:r w:rsidRPr="00E81AD9">
        <w:t xml:space="preserve">Counsel for the petitioners further contended that the Tenth Schedule draws only a slight distinction between defection and split. The criteria used to differentiate them appear illogical and defy sound reasoning. In addressing these points, the Court </w:t>
      </w:r>
      <w:r w:rsidRPr="00E81AD9">
        <w:lastRenderedPageBreak/>
        <w:t>observed that the split exemption rule exists to prevent assuming dishonest motives among one-third of the members simultaneously.</w:t>
      </w:r>
    </w:p>
    <w:p w14:paraId="06F83CBF" w14:textId="60A6AFD8" w:rsidR="00520981" w:rsidRPr="00E81AD9" w:rsidRDefault="00520981" w:rsidP="00E81AD9">
      <w:pPr>
        <w:spacing w:line="360" w:lineRule="auto"/>
        <w:jc w:val="both"/>
      </w:pPr>
      <w:r w:rsidRPr="00E81AD9">
        <w:t>The petitioners invoked paragraph 7 of the Schedule to argue that it alters the functioning of Articles 136, 226, and 227. This change, they claimed, triggers the requirements of Article 368(2), including ratification by states. Upon examination, the Court noted that paragraph 7 employs broad language with limited interpretive options. Historical analysis of the defection law and parliamentary debates reinforces this view. Those discussions indicate that paragraph 7 aimed specifically to curtail judicial oversight. The Court differentiated the current matter from earlier decisions like Shankari Prasad Singh Deo v. Union of India</w:t>
      </w:r>
      <w:r w:rsidR="00194ABD">
        <w:rPr>
          <w:rStyle w:val="FootnoteReference"/>
        </w:rPr>
        <w:footnoteReference w:id="3"/>
      </w:r>
      <w:r w:rsidRPr="00E81AD9">
        <w:t xml:space="preserve"> and Sajjan Singh v. State of Rajasthan</w:t>
      </w:r>
      <w:r w:rsidR="002E125B">
        <w:rPr>
          <w:rStyle w:val="FootnoteReference"/>
        </w:rPr>
        <w:footnoteReference w:id="4"/>
      </w:r>
      <w:r w:rsidRPr="00E81AD9">
        <w:t>. Those cases addressed unrelated aspects of Article 368(2).</w:t>
      </w:r>
    </w:p>
    <w:p w14:paraId="7C3F150B" w14:textId="77777777" w:rsidR="00520981" w:rsidRPr="00E81AD9" w:rsidRDefault="00520981" w:rsidP="00E81AD9">
      <w:pPr>
        <w:spacing w:line="360" w:lineRule="auto"/>
        <w:jc w:val="both"/>
      </w:pPr>
      <w:r w:rsidRPr="00E81AD9">
        <w:t xml:space="preserve">The petitioners asserted that paragraph 6's finality clause in the Tenth Schedule bars judicial review. This clause renders the Speaker immune from court scrutiny. In the Indian legal framework, </w:t>
      </w:r>
      <w:proofErr w:type="spellStart"/>
      <w:r w:rsidRPr="00E81AD9">
        <w:t>any body</w:t>
      </w:r>
      <w:proofErr w:type="spellEnd"/>
      <w:r w:rsidRPr="00E81AD9">
        <w:t xml:space="preserve"> resolving disputes must embody some judicial character. Here, the authority under paragraph 6(1) to determine disqualifications carries a distinctly judicial nature. The majority opinion concluded that the Speaker or Chairman acts as a tribunal. The finality clause does not eliminate jurisdiction under Articles 136, 226, and 227. Rather, it imposes certain boundaries on it.</w:t>
      </w:r>
    </w:p>
    <w:p w14:paraId="2FA2533A" w14:textId="5B1EE515" w:rsidR="00520981" w:rsidRPr="00E81AD9" w:rsidRDefault="005664B6" w:rsidP="00E81AD9">
      <w:pPr>
        <w:pStyle w:val="ListParagraph"/>
        <w:numPr>
          <w:ilvl w:val="0"/>
          <w:numId w:val="1"/>
        </w:numPr>
        <w:spacing w:line="360" w:lineRule="auto"/>
        <w:jc w:val="both"/>
        <w:rPr>
          <w:b/>
          <w:bCs/>
        </w:rPr>
      </w:pPr>
      <w:r w:rsidRPr="00E81AD9">
        <w:rPr>
          <w:b/>
          <w:bCs/>
        </w:rPr>
        <w:t>ARGUMENTS OF THE RESPONDENTS</w:t>
      </w:r>
    </w:p>
    <w:p w14:paraId="4CA3E710" w14:textId="6C41C655" w:rsidR="00520981" w:rsidRPr="00E81AD9" w:rsidRDefault="00520981" w:rsidP="00E81AD9">
      <w:pPr>
        <w:spacing w:line="360" w:lineRule="auto"/>
        <w:jc w:val="both"/>
      </w:pPr>
      <w:r w:rsidRPr="00E81AD9">
        <w:t>The respondents supported the Amendment's validity. They maintained that the Tenth Schedule establishes a non-justiciable domain within the Constitution. This domain addresses intricate political matters unsuitable for standard judicial resolution. The Constitution introduces novel rights and duties through this Schedule. It also outlines a specialized mechanism for handling related disputes. These elements resist ordinary judicial intervention. The Schedule acknowledges this inherent complexity. It upholds constitutional finality by affirming the Speaker's or Chairman's decisions. Proceedings under it qualify as internal to Parliament or state legislatures, per Articles 122 and 212. Paragraph 7 explicitly bars court involvement.</w:t>
      </w:r>
    </w:p>
    <w:p w14:paraId="46E41EF7" w14:textId="77777777" w:rsidR="00520981" w:rsidRPr="00E81AD9" w:rsidRDefault="00520981" w:rsidP="00E81AD9">
      <w:pPr>
        <w:spacing w:line="360" w:lineRule="auto"/>
        <w:jc w:val="both"/>
      </w:pPr>
      <w:r w:rsidRPr="00E81AD9">
        <w:t xml:space="preserve">Legal theory suggests that no actual removal of judicial jurisdiction occurs. The issues involved possess a nature incompatible with judicial authority due to their political </w:t>
      </w:r>
      <w:r w:rsidRPr="00E81AD9">
        <w:lastRenderedPageBreak/>
        <w:t>depth. Paragraph 7's restriction simply reflects this constitutional reality. It recognizes the subject matter's exemption from state judicial power. The Speaker or Chairman, when applying paragraph 6(1), operates not as a statutory tribunal. Instead, this role aligns with the legislative branch of the state. Given the political essence of these disputes, no judicial jurisdiction applies from the outset. The Constitution permits the Legislature to manage such matters independently.</w:t>
      </w:r>
    </w:p>
    <w:p w14:paraId="07BE9C55" w14:textId="6CF79347" w:rsidR="00520981" w:rsidRPr="00E81AD9" w:rsidRDefault="00520981" w:rsidP="00E81AD9">
      <w:pPr>
        <w:spacing w:line="360" w:lineRule="auto"/>
        <w:jc w:val="both"/>
      </w:pPr>
      <w:r w:rsidRPr="00E81AD9">
        <w:t>The Tenth Schedule integrates into the Constitution. It follows the same interpretive principles as the fundamental document. Constitutional powers interrelate within a unified framework. The petitioners' counsel argued that the Schedule must yield to the Constitution's basic features. Yet, the Schedule and core democratic principles can coexist without conflict. Interpreting the fundamental law requires viewing the Constitution holistically. It articulates broad principles adaptable to evolving contexts. This flexibility sets it apart from rigid statutes. As Cooley notes in Constitutional Limitations, an amendment assimilates fully into the Constitution upon adoption. It demands construction as an original component.</w:t>
      </w:r>
    </w:p>
    <w:p w14:paraId="3884B9FB" w14:textId="70DA03F3" w:rsidR="00520981" w:rsidRPr="00E81AD9" w:rsidRDefault="00520981" w:rsidP="00E81AD9">
      <w:pPr>
        <w:spacing w:line="360" w:lineRule="auto"/>
        <w:jc w:val="both"/>
      </w:pPr>
      <w:r w:rsidRPr="00E81AD9">
        <w:t>Respondents' counsel addressed claims by Shri Ram Jethmalani and Shri Sharma. Those arguments portrayed the Tenth Schedule as undermining essential democratic tenets. It allegedly erodes parliamentary foundations, freedom of speech, dissent rights, and conscience. While unprincipled defections pose a problem, countermeasures risk greater harms if overly severe. The Schedule grapples with political ethics dilemmas. Punishing representatives for conscience-driven actions contradicts the democratic values it seeks to protect. Advocates cited Edmund Burke's 1774 Speech to the Electors of Bristol to illustrate this tension.</w:t>
      </w:r>
    </w:p>
    <w:p w14:paraId="5B2DF280" w14:textId="76D67689" w:rsidR="00520981" w:rsidRPr="00E81AD9" w:rsidRDefault="00520981" w:rsidP="00E81AD9">
      <w:pPr>
        <w:spacing w:line="360" w:lineRule="auto"/>
        <w:jc w:val="both"/>
      </w:pPr>
      <w:r w:rsidRPr="00E81AD9">
        <w:t>The Tenth Schedule integrates into the Constitution. It follows the same interpretive principles as the fundamental document. Constitutional powers interrelate within a unified framework. The petitioners' counsel argued that the Schedule must yield to the Constitution's basic features. Yet, the Schedule and core democratic principles can coexist without conflict. Interpreting the fundamental law requires viewing the Constitution holistically. It articulates broad principles adaptable to evolving contexts. This flexibility sets it apart from rigid statutes. As Cooley notes in Constitutional Limitations, an amendment assimilates fully into the Constitution upon adoption. It demands construction as an original component.</w:t>
      </w:r>
    </w:p>
    <w:p w14:paraId="447AC38D" w14:textId="0CBD0380" w:rsidR="00520981" w:rsidRPr="00E81AD9" w:rsidRDefault="00520981" w:rsidP="00E81AD9">
      <w:pPr>
        <w:spacing w:line="360" w:lineRule="auto"/>
        <w:jc w:val="both"/>
      </w:pPr>
      <w:r w:rsidRPr="00E81AD9">
        <w:lastRenderedPageBreak/>
        <w:t>Respondents' counsel addressed claims by Shri Ram Jethmalani and Shri Sharma. Those arguments portrayed the Tenth Schedule as undermining essential democratic tenets. It allegedly erodes parliamentary foundations, freedom of speech, dissent rights, and conscience. While unprincipled defections pose a problem, countermeasures risk greater harms if overly severe. The Schedule grapples with political ethics dilemmas. Punishing representatives for conscience-driven actions contradicts the democratic values it seeks to protect. Advocates cited Edmund Burke's 1774 Speech to the Electors of Bristol to illustrate this tension.</w:t>
      </w:r>
    </w:p>
    <w:p w14:paraId="1F77815C" w14:textId="51F26231" w:rsidR="00520981" w:rsidRPr="00E81AD9" w:rsidRDefault="005664B6" w:rsidP="00E81AD9">
      <w:pPr>
        <w:pStyle w:val="ListParagraph"/>
        <w:numPr>
          <w:ilvl w:val="0"/>
          <w:numId w:val="1"/>
        </w:numPr>
        <w:spacing w:line="360" w:lineRule="auto"/>
        <w:jc w:val="both"/>
        <w:rPr>
          <w:b/>
          <w:bCs/>
        </w:rPr>
      </w:pPr>
      <w:r w:rsidRPr="00E81AD9">
        <w:rPr>
          <w:b/>
          <w:bCs/>
        </w:rPr>
        <w:t xml:space="preserve">JUDGEMENT </w:t>
      </w:r>
    </w:p>
    <w:p w14:paraId="150ADBE6" w14:textId="6767BDD7" w:rsidR="00520981" w:rsidRPr="00E81AD9" w:rsidRDefault="00520981" w:rsidP="00E81AD9">
      <w:pPr>
        <w:spacing w:line="360" w:lineRule="auto"/>
        <w:jc w:val="both"/>
      </w:pPr>
      <w:r w:rsidRPr="00E81AD9">
        <w:t>Speakers and chairmen serve as guardians of the House's rights and privileges. They hold a crucial position in parliamentary democracy. These roles involve making vital decisions that shape democratic processes. Given their authority to rule on matters under the Tenth Schedule, they cannot be seen as outside normal scrutiny.</w:t>
      </w:r>
    </w:p>
    <w:p w14:paraId="5CA2BAC7" w14:textId="77777777" w:rsidR="00520981" w:rsidRPr="00E81AD9" w:rsidRDefault="00520981" w:rsidP="00E81AD9">
      <w:pPr>
        <w:spacing w:line="360" w:lineRule="auto"/>
        <w:jc w:val="both"/>
      </w:pPr>
      <w:r w:rsidRPr="00E81AD9">
        <w:t>A contrasting perspective emerges from the minority view. The speaker's role in deciding disputes under the Tenth Schedule depends entirely on continued backing from the House. This setup means the speaker lacks the independence required for true adjudicatory authority.</w:t>
      </w:r>
    </w:p>
    <w:p w14:paraId="3BEA93C4" w14:textId="77777777" w:rsidR="00520981" w:rsidRPr="00E81AD9" w:rsidRDefault="00520981" w:rsidP="00E81AD9">
      <w:pPr>
        <w:spacing w:line="360" w:lineRule="auto"/>
        <w:jc w:val="both"/>
      </w:pPr>
      <w:r w:rsidRPr="00E81AD9">
        <w:t>Courts have also ruled that paragraph 6 of the Tenth Schedule does not establish any area beyond judicial review. The power of the speaker or chairman to settle such disputes carries a judicial character in many respects.</w:t>
      </w:r>
    </w:p>
    <w:p w14:paraId="014FD113" w14:textId="77DB8783" w:rsidR="00520981" w:rsidRPr="00E81AD9" w:rsidRDefault="00520981" w:rsidP="00E81AD9">
      <w:pPr>
        <w:spacing w:line="360" w:lineRule="auto"/>
        <w:jc w:val="both"/>
      </w:pPr>
      <w:r w:rsidRPr="00E81AD9">
        <w:t>The Election Commission adopted a parallel stance, drawing from opinions by Justices L.M. Sharma and J.S. Verma. Back in 1977, the commission issued recommendations. It proposed shifting disqualification cases tied to defection toward the commission itself. An opinion from there would then go to the President or Governor, depending on the situation. The President or Governor would follow that advice, much like handling other disqualifications under articles 102 and 191 of the Constitution.</w:t>
      </w:r>
    </w:p>
    <w:p w14:paraId="2541CFA7" w14:textId="05F9522F" w:rsidR="00520981" w:rsidRPr="00E81AD9" w:rsidRDefault="005664B6" w:rsidP="00E81AD9">
      <w:pPr>
        <w:pStyle w:val="ListParagraph"/>
        <w:numPr>
          <w:ilvl w:val="0"/>
          <w:numId w:val="1"/>
        </w:numPr>
        <w:spacing w:line="360" w:lineRule="auto"/>
        <w:jc w:val="both"/>
        <w:rPr>
          <w:b/>
          <w:bCs/>
        </w:rPr>
      </w:pPr>
      <w:r w:rsidRPr="00E81AD9">
        <w:rPr>
          <w:b/>
          <w:bCs/>
        </w:rPr>
        <w:t>CONCLUSION</w:t>
      </w:r>
    </w:p>
    <w:p w14:paraId="7CAC4FA7" w14:textId="2062085B" w:rsidR="00520981" w:rsidRPr="00E81AD9" w:rsidRDefault="00520981" w:rsidP="00E81AD9">
      <w:pPr>
        <w:spacing w:line="360" w:lineRule="auto"/>
        <w:jc w:val="both"/>
      </w:pPr>
      <w:r w:rsidRPr="00E81AD9">
        <w:t xml:space="preserve">In the </w:t>
      </w:r>
      <w:proofErr w:type="spellStart"/>
      <w:r w:rsidRPr="00E81AD9">
        <w:t>Kihoto</w:t>
      </w:r>
      <w:proofErr w:type="spellEnd"/>
      <w:r w:rsidRPr="00E81AD9">
        <w:t xml:space="preserve"> </w:t>
      </w:r>
      <w:proofErr w:type="spellStart"/>
      <w:r w:rsidRPr="00E81AD9">
        <w:t>Hollohan</w:t>
      </w:r>
      <w:proofErr w:type="spellEnd"/>
      <w:r w:rsidRPr="00E81AD9">
        <w:t xml:space="preserve"> versus </w:t>
      </w:r>
      <w:proofErr w:type="spellStart"/>
      <w:r w:rsidRPr="00E81AD9">
        <w:t>Zachillhu</w:t>
      </w:r>
      <w:proofErr w:type="spellEnd"/>
      <w:r w:rsidRPr="00E81AD9">
        <w:t xml:space="preserve"> case, arguments surfaced that the anti-defection law clashes with freedoms of speech, dissent, and conscience. The Supreme Court held otherwise. The law aims squarely at curbing unprincipled defections. Such actions fall outside protections for conscience, dissent, or intellectual freedom. Even </w:t>
      </w:r>
      <w:r w:rsidRPr="00E81AD9">
        <w:lastRenderedPageBreak/>
        <w:t>with some unintended effects, the law remains essential today. Political corruption demands attention through electoral reforms.</w:t>
      </w:r>
    </w:p>
    <w:p w14:paraId="0DA418DE" w14:textId="77777777" w:rsidR="00520981" w:rsidRPr="00E81AD9" w:rsidRDefault="00520981" w:rsidP="00E81AD9">
      <w:pPr>
        <w:spacing w:line="360" w:lineRule="auto"/>
        <w:jc w:val="both"/>
      </w:pPr>
    </w:p>
    <w:p w14:paraId="20CFBFF8" w14:textId="77777777" w:rsidR="00A55F9F" w:rsidRPr="00E81AD9" w:rsidRDefault="00A55F9F" w:rsidP="00E81AD9">
      <w:pPr>
        <w:spacing w:line="360" w:lineRule="auto"/>
        <w:jc w:val="both"/>
      </w:pPr>
    </w:p>
    <w:p w14:paraId="08C0609C" w14:textId="77777777" w:rsidR="00A55F9F" w:rsidRPr="00E81AD9" w:rsidRDefault="00A55F9F" w:rsidP="00E81AD9">
      <w:pPr>
        <w:spacing w:line="360" w:lineRule="auto"/>
        <w:jc w:val="both"/>
      </w:pPr>
    </w:p>
    <w:p w14:paraId="57C66AD6" w14:textId="77777777" w:rsidR="00A55F9F" w:rsidRPr="00E81AD9" w:rsidRDefault="00A55F9F" w:rsidP="00E81AD9">
      <w:pPr>
        <w:spacing w:line="360" w:lineRule="auto"/>
        <w:jc w:val="both"/>
      </w:pPr>
    </w:p>
    <w:p w14:paraId="3B023025" w14:textId="252EE848" w:rsidR="00A55F9F" w:rsidRPr="00E81AD9" w:rsidRDefault="00A55F9F" w:rsidP="00E81AD9">
      <w:pPr>
        <w:spacing w:line="360" w:lineRule="auto"/>
        <w:jc w:val="both"/>
      </w:pPr>
    </w:p>
    <w:sectPr w:rsidR="00A55F9F" w:rsidRPr="00E81AD9" w:rsidSect="00B81996">
      <w:footerReference w:type="default" r:id="rId8"/>
      <w:pgSz w:w="11906" w:h="16838"/>
      <w:pgMar w:top="1440" w:right="1440" w:bottom="1440" w:left="21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4EAB3" w14:textId="77777777" w:rsidR="003664E1" w:rsidRDefault="003664E1" w:rsidP="005140E8">
      <w:pPr>
        <w:spacing w:after="0" w:line="240" w:lineRule="auto"/>
      </w:pPr>
      <w:r>
        <w:separator/>
      </w:r>
    </w:p>
  </w:endnote>
  <w:endnote w:type="continuationSeparator" w:id="0">
    <w:p w14:paraId="3FDB847E" w14:textId="77777777" w:rsidR="003664E1" w:rsidRDefault="003664E1" w:rsidP="00514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892765"/>
      <w:docPartObj>
        <w:docPartGallery w:val="Page Numbers (Bottom of Page)"/>
        <w:docPartUnique/>
      </w:docPartObj>
    </w:sdtPr>
    <w:sdtEndPr>
      <w:rPr>
        <w:noProof/>
      </w:rPr>
    </w:sdtEndPr>
    <w:sdtContent>
      <w:p w14:paraId="73367FC0" w14:textId="46D6C96A" w:rsidR="005140E8" w:rsidRDefault="005140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759368" w14:textId="77777777" w:rsidR="005140E8" w:rsidRDefault="00514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025B0" w14:textId="77777777" w:rsidR="003664E1" w:rsidRDefault="003664E1" w:rsidP="005140E8">
      <w:pPr>
        <w:spacing w:after="0" w:line="240" w:lineRule="auto"/>
      </w:pPr>
      <w:r>
        <w:separator/>
      </w:r>
    </w:p>
  </w:footnote>
  <w:footnote w:type="continuationSeparator" w:id="0">
    <w:p w14:paraId="2C5FA531" w14:textId="77777777" w:rsidR="003664E1" w:rsidRDefault="003664E1" w:rsidP="005140E8">
      <w:pPr>
        <w:spacing w:after="0" w:line="240" w:lineRule="auto"/>
      </w:pPr>
      <w:r>
        <w:continuationSeparator/>
      </w:r>
    </w:p>
  </w:footnote>
  <w:footnote w:id="1">
    <w:p w14:paraId="41A0DAC4" w14:textId="73A57ABE" w:rsidR="00B86C71" w:rsidRDefault="00B86C71">
      <w:pPr>
        <w:pStyle w:val="FootnoteText"/>
      </w:pPr>
      <w:r>
        <w:rPr>
          <w:rStyle w:val="FootnoteReference"/>
        </w:rPr>
        <w:footnoteRef/>
      </w:r>
      <w:r>
        <w:t xml:space="preserve"> </w:t>
      </w:r>
      <w:r>
        <w:t>4</w:t>
      </w:r>
      <w:r w:rsidRPr="005961F5">
        <w:rPr>
          <w:vertAlign w:val="superscript"/>
        </w:rPr>
        <w:t>th</w:t>
      </w:r>
      <w:r>
        <w:t xml:space="preserve"> Year B.A. LL.B.(Hons.) Student at Vivekananda Institute of Professional Studies – Technical Campus, Affiliated with GGSIPU, Delhi</w:t>
      </w:r>
    </w:p>
  </w:footnote>
  <w:footnote w:id="2">
    <w:p w14:paraId="4683955B" w14:textId="0BBC1FBC" w:rsidR="00AB5999" w:rsidRDefault="00AB5999">
      <w:pPr>
        <w:pStyle w:val="FootnoteText"/>
      </w:pPr>
      <w:r>
        <w:rPr>
          <w:rStyle w:val="FootnoteReference"/>
        </w:rPr>
        <w:footnoteRef/>
      </w:r>
      <w:r>
        <w:t xml:space="preserve"> </w:t>
      </w:r>
      <w:r w:rsidRPr="00AB5999">
        <w:t>1994 Supp (2) SCC 641</w:t>
      </w:r>
    </w:p>
  </w:footnote>
  <w:footnote w:id="3">
    <w:p w14:paraId="45D71476" w14:textId="336D2F18" w:rsidR="00194ABD" w:rsidRDefault="00194ABD">
      <w:pPr>
        <w:pStyle w:val="FootnoteText"/>
      </w:pPr>
      <w:r>
        <w:rPr>
          <w:rStyle w:val="FootnoteReference"/>
        </w:rPr>
        <w:footnoteRef/>
      </w:r>
      <w:r>
        <w:t xml:space="preserve"> </w:t>
      </w:r>
      <w:r w:rsidRPr="00194ABD">
        <w:t> AIR 1951 SC 458</w:t>
      </w:r>
    </w:p>
  </w:footnote>
  <w:footnote w:id="4">
    <w:p w14:paraId="75B4C98B" w14:textId="4013CFE4" w:rsidR="002E125B" w:rsidRDefault="002E125B">
      <w:pPr>
        <w:pStyle w:val="FootnoteText"/>
      </w:pPr>
      <w:r>
        <w:rPr>
          <w:rStyle w:val="FootnoteReference"/>
        </w:rPr>
        <w:footnoteRef/>
      </w:r>
      <w:r>
        <w:t xml:space="preserve"> </w:t>
      </w:r>
      <w:r w:rsidRPr="002E125B">
        <w:t>1965 AIR 845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D29"/>
    <w:multiLevelType w:val="hybridMultilevel"/>
    <w:tmpl w:val="E1FAC980"/>
    <w:lvl w:ilvl="0" w:tplc="4009000B">
      <w:start w:val="1"/>
      <w:numFmt w:val="bullet"/>
      <w:lvlText w:val=""/>
      <w:lvlJc w:val="left"/>
      <w:pPr>
        <w:ind w:left="785"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A274D8"/>
    <w:multiLevelType w:val="hybridMultilevel"/>
    <w:tmpl w:val="70C242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02D4E64"/>
    <w:multiLevelType w:val="hybridMultilevel"/>
    <w:tmpl w:val="B45826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84587391">
    <w:abstractNumId w:val="0"/>
  </w:num>
  <w:num w:numId="2" w16cid:durableId="1344548906">
    <w:abstractNumId w:val="2"/>
  </w:num>
  <w:num w:numId="3" w16cid:durableId="746342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9F"/>
    <w:rsid w:val="00194ABD"/>
    <w:rsid w:val="002A0BE2"/>
    <w:rsid w:val="002E125B"/>
    <w:rsid w:val="003664E1"/>
    <w:rsid w:val="003C23EF"/>
    <w:rsid w:val="00474778"/>
    <w:rsid w:val="005140E8"/>
    <w:rsid w:val="00520981"/>
    <w:rsid w:val="005664B6"/>
    <w:rsid w:val="0058605D"/>
    <w:rsid w:val="005A68D2"/>
    <w:rsid w:val="00606248"/>
    <w:rsid w:val="009D5D54"/>
    <w:rsid w:val="00A55F9F"/>
    <w:rsid w:val="00AB5999"/>
    <w:rsid w:val="00B81996"/>
    <w:rsid w:val="00B86C71"/>
    <w:rsid w:val="00C1618C"/>
    <w:rsid w:val="00C9333B"/>
    <w:rsid w:val="00DF0CCB"/>
    <w:rsid w:val="00E81AD9"/>
    <w:rsid w:val="00EE51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CB433"/>
  <w15:chartTrackingRefBased/>
  <w15:docId w15:val="{7B5F122B-403F-41EB-839D-7E7C5056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F9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F9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55F9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55F9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5F9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5F9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5F9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F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F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F9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F9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55F9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55F9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5F9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5F9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5F9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55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F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F9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F9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55F9F"/>
    <w:pPr>
      <w:spacing w:before="160"/>
      <w:jc w:val="center"/>
    </w:pPr>
    <w:rPr>
      <w:i/>
      <w:iCs/>
      <w:color w:val="404040" w:themeColor="text1" w:themeTint="BF"/>
    </w:rPr>
  </w:style>
  <w:style w:type="character" w:customStyle="1" w:styleId="QuoteChar">
    <w:name w:val="Quote Char"/>
    <w:basedOn w:val="DefaultParagraphFont"/>
    <w:link w:val="Quote"/>
    <w:uiPriority w:val="29"/>
    <w:rsid w:val="00A55F9F"/>
    <w:rPr>
      <w:i/>
      <w:iCs/>
      <w:color w:val="404040" w:themeColor="text1" w:themeTint="BF"/>
    </w:rPr>
  </w:style>
  <w:style w:type="paragraph" w:styleId="ListParagraph">
    <w:name w:val="List Paragraph"/>
    <w:basedOn w:val="Normal"/>
    <w:uiPriority w:val="34"/>
    <w:qFormat/>
    <w:rsid w:val="00A55F9F"/>
    <w:pPr>
      <w:ind w:left="720"/>
      <w:contextualSpacing/>
    </w:pPr>
  </w:style>
  <w:style w:type="character" w:styleId="IntenseEmphasis">
    <w:name w:val="Intense Emphasis"/>
    <w:basedOn w:val="DefaultParagraphFont"/>
    <w:uiPriority w:val="21"/>
    <w:qFormat/>
    <w:rsid w:val="00A55F9F"/>
    <w:rPr>
      <w:i/>
      <w:iCs/>
      <w:color w:val="0F4761" w:themeColor="accent1" w:themeShade="BF"/>
    </w:rPr>
  </w:style>
  <w:style w:type="paragraph" w:styleId="IntenseQuote">
    <w:name w:val="Intense Quote"/>
    <w:basedOn w:val="Normal"/>
    <w:next w:val="Normal"/>
    <w:link w:val="IntenseQuoteChar"/>
    <w:uiPriority w:val="30"/>
    <w:qFormat/>
    <w:rsid w:val="00A55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F9F"/>
    <w:rPr>
      <w:i/>
      <w:iCs/>
      <w:color w:val="0F4761" w:themeColor="accent1" w:themeShade="BF"/>
    </w:rPr>
  </w:style>
  <w:style w:type="character" w:styleId="IntenseReference">
    <w:name w:val="Intense Reference"/>
    <w:basedOn w:val="DefaultParagraphFont"/>
    <w:uiPriority w:val="32"/>
    <w:qFormat/>
    <w:rsid w:val="00A55F9F"/>
    <w:rPr>
      <w:b/>
      <w:bCs/>
      <w:smallCaps/>
      <w:color w:val="0F4761" w:themeColor="accent1" w:themeShade="BF"/>
      <w:spacing w:val="5"/>
    </w:rPr>
  </w:style>
  <w:style w:type="paragraph" w:styleId="Header">
    <w:name w:val="header"/>
    <w:basedOn w:val="Normal"/>
    <w:link w:val="HeaderChar"/>
    <w:uiPriority w:val="99"/>
    <w:unhideWhenUsed/>
    <w:rsid w:val="00514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0E8"/>
  </w:style>
  <w:style w:type="paragraph" w:styleId="Footer">
    <w:name w:val="footer"/>
    <w:basedOn w:val="Normal"/>
    <w:link w:val="FooterChar"/>
    <w:uiPriority w:val="99"/>
    <w:unhideWhenUsed/>
    <w:rsid w:val="00514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0E8"/>
  </w:style>
  <w:style w:type="paragraph" w:styleId="FootnoteText">
    <w:name w:val="footnote text"/>
    <w:basedOn w:val="Normal"/>
    <w:link w:val="FootnoteTextChar"/>
    <w:uiPriority w:val="99"/>
    <w:semiHidden/>
    <w:unhideWhenUsed/>
    <w:rsid w:val="00B86C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6C71"/>
    <w:rPr>
      <w:sz w:val="20"/>
      <w:szCs w:val="20"/>
    </w:rPr>
  </w:style>
  <w:style w:type="character" w:styleId="FootnoteReference">
    <w:name w:val="footnote reference"/>
    <w:basedOn w:val="DefaultParagraphFont"/>
    <w:uiPriority w:val="99"/>
    <w:semiHidden/>
    <w:unhideWhenUsed/>
    <w:rsid w:val="00B86C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D0BFA-DF78-47A6-892B-3D7CF507E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1984</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Bhoomi Jain</dc:creator>
  <cp:keywords/>
  <dc:description/>
  <cp:lastModifiedBy>Bhoomi Jain</cp:lastModifiedBy>
  <cp:revision>13</cp:revision>
  <dcterms:created xsi:type="dcterms:W3CDTF">2025-11-10T10:30:00Z</dcterms:created>
  <dcterms:modified xsi:type="dcterms:W3CDTF">2025-11-14T19:00:00Z</dcterms:modified>
</cp:coreProperties>
</file>