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A2" w:rsidRPr="006006D6" w:rsidRDefault="003E7DA2" w:rsidP="0060563F">
      <w:pPr>
        <w:pStyle w:val="NormalWeb"/>
        <w:spacing w:before="240" w:beforeAutospacing="0" w:after="240" w:afterAutospacing="0"/>
        <w:jc w:val="center"/>
        <w:rPr>
          <w:b/>
          <w:bCs/>
          <w:color w:val="000000"/>
        </w:rPr>
      </w:pPr>
      <w:r w:rsidRPr="006006D6">
        <w:rPr>
          <w:b/>
          <w:bCs/>
          <w:color w:val="000000"/>
        </w:rPr>
        <w:t>ENACTMENT OF INSOLVENCY AND BANKRUPTCY CODE, 2016</w:t>
      </w:r>
    </w:p>
    <w:p w:rsidR="003E7DA2" w:rsidRDefault="003E7DA2" w:rsidP="0060563F">
      <w:pPr>
        <w:pStyle w:val="NormalWeb"/>
        <w:spacing w:before="240" w:beforeAutospacing="0" w:after="0" w:afterAutospacing="0"/>
        <w:jc w:val="center"/>
      </w:pPr>
      <w:r>
        <w:rPr>
          <w:b/>
          <w:bCs/>
          <w:color w:val="000000"/>
          <w:sz w:val="20"/>
          <w:szCs w:val="20"/>
        </w:rPr>
        <w:t>Apoorva Singh Katiyar</w:t>
      </w:r>
    </w:p>
    <w:p w:rsidR="003E7DA2" w:rsidRDefault="003E7DA2" w:rsidP="0060563F">
      <w:pPr>
        <w:pStyle w:val="NormalWeb"/>
        <w:spacing w:before="0" w:beforeAutospacing="0" w:after="0" w:afterAutospacing="0"/>
        <w:jc w:val="center"/>
      </w:pPr>
      <w:r>
        <w:rPr>
          <w:color w:val="000000"/>
          <w:sz w:val="20"/>
          <w:szCs w:val="20"/>
        </w:rPr>
        <w:t>Research Scholar, Faculty Of Juridical Science, Rama University, Kanpur, U.P., India, </w:t>
      </w:r>
    </w:p>
    <w:p w:rsidR="003E7DA2" w:rsidRDefault="003E7DA2" w:rsidP="0060563F">
      <w:pPr>
        <w:pStyle w:val="NormalWeb"/>
        <w:spacing w:before="0" w:beforeAutospacing="0" w:after="200" w:afterAutospacing="0"/>
        <w:jc w:val="center"/>
      </w:pPr>
      <w:r>
        <w:rPr>
          <w:color w:val="000000"/>
          <w:sz w:val="20"/>
          <w:szCs w:val="20"/>
        </w:rPr>
        <w:t>apoorvakatiyar.25@gmail.com</w:t>
      </w:r>
    </w:p>
    <w:p w:rsidR="003E7DA2" w:rsidRDefault="001A5EB2" w:rsidP="0060563F">
      <w:pPr>
        <w:pStyle w:val="NormalWeb"/>
        <w:spacing w:before="0" w:beforeAutospacing="0" w:after="0" w:afterAutospacing="0"/>
        <w:jc w:val="center"/>
      </w:pPr>
      <w:r>
        <w:rPr>
          <w:b/>
          <w:bCs/>
          <w:color w:val="000000"/>
          <w:sz w:val="20"/>
          <w:szCs w:val="20"/>
        </w:rPr>
        <w:t>Dr. Ravi K</w:t>
      </w:r>
      <w:r w:rsidR="003E7DA2">
        <w:rPr>
          <w:b/>
          <w:bCs/>
          <w:color w:val="000000"/>
          <w:sz w:val="20"/>
          <w:szCs w:val="20"/>
        </w:rPr>
        <w:t>ant Gupta</w:t>
      </w:r>
    </w:p>
    <w:p w:rsidR="003E7DA2" w:rsidRDefault="003E7DA2" w:rsidP="0060563F">
      <w:pPr>
        <w:pStyle w:val="NormalWeb"/>
        <w:spacing w:before="0" w:beforeAutospacing="0" w:after="0" w:afterAutospacing="0"/>
        <w:jc w:val="center"/>
      </w:pPr>
      <w:r>
        <w:rPr>
          <w:color w:val="000000"/>
          <w:sz w:val="20"/>
          <w:szCs w:val="20"/>
        </w:rPr>
        <w:t>Associate Professor, Faculty Of Juridical Science, Rama University, Kanpur, U.P., India,</w:t>
      </w:r>
    </w:p>
    <w:p w:rsidR="003E7DA2" w:rsidRPr="00A97C28" w:rsidRDefault="003E7DA2" w:rsidP="0060563F">
      <w:pPr>
        <w:pStyle w:val="NormalWeb"/>
        <w:spacing w:before="0" w:beforeAutospacing="0" w:after="0" w:afterAutospacing="0"/>
        <w:jc w:val="center"/>
      </w:pPr>
      <w:r>
        <w:rPr>
          <w:color w:val="000000"/>
          <w:sz w:val="20"/>
          <w:szCs w:val="20"/>
        </w:rPr>
        <w:t>ravilkn10@gmail.com</w:t>
      </w:r>
    </w:p>
    <w:p w:rsidR="00C60B55" w:rsidRPr="00C60B55" w:rsidRDefault="00C60B55" w:rsidP="0060563F">
      <w:pPr>
        <w:spacing w:before="240" w:line="240" w:lineRule="auto"/>
        <w:jc w:val="both"/>
        <w:rPr>
          <w:rFonts w:ascii="Times New Roman" w:hAnsi="Times New Roman" w:cs="Times New Roman"/>
          <w:b/>
          <w:sz w:val="24"/>
          <w:szCs w:val="24"/>
        </w:rPr>
      </w:pPr>
      <w:r w:rsidRPr="00765C20">
        <w:rPr>
          <w:rFonts w:ascii="Times New Roman" w:hAnsi="Times New Roman" w:cs="Times New Roman"/>
          <w:b/>
          <w:sz w:val="24"/>
          <w:szCs w:val="24"/>
        </w:rPr>
        <w:t>Abstract</w:t>
      </w:r>
    </w:p>
    <w:p w:rsidR="00C60B55" w:rsidRPr="00765C20" w:rsidRDefault="00C60B55" w:rsidP="0060563F">
      <w:pPr>
        <w:spacing w:before="240" w:after="0" w:line="240" w:lineRule="auto"/>
        <w:jc w:val="both"/>
        <w:rPr>
          <w:rFonts w:ascii="Times New Roman" w:hAnsi="Times New Roman" w:cs="Times New Roman"/>
          <w:sz w:val="24"/>
          <w:szCs w:val="24"/>
        </w:rPr>
      </w:pPr>
      <w:r w:rsidRPr="00765C20">
        <w:rPr>
          <w:rFonts w:ascii="Times New Roman" w:hAnsi="Times New Roman" w:cs="Times New Roman"/>
          <w:sz w:val="24"/>
          <w:szCs w:val="24"/>
        </w:rPr>
        <w:t>The Insolvency and Bankruptcy Code, 2016 was enacted with the aim to resolve the issue of insolvency in India. Before this Code, there was issue of insolvency and non recovery of the debt which resulted into India being ranked number 108 in Insolvency by the World Bank. The Code was enacted with the aim to consolidate various laws related to insolvency and bankruptcy, as earlier, there were several pieces of legislation that dealt with the subject, which resulted in confusion and a lengthy period of time for resolution of the matter. The chapter will explore the enactment of Code resulting into amendments to various legislations such as Companies Act, 2013 and it also led to repeal of the legislations such as Sick Industrial Companies (Special Provision) Act, 1985. The solution before enactment of this Code was not much viable economically and was also time taking. This chapter would mention the priority of the Code with respect to sick companies, the process of liquidation to protect the interest of the creditors along with the interest of the debtors. This chapter would also discuss the objectives Code has been able to achieve after being enforced. Though the Code is new legislation but it has evolved according to the need. The Code has been amended after it came into force in order to overcome the lacunae which emerged after the Code came into force. The courts have also played important role in its implementation and through the decisions the grey areas of the Code have to be identified.</w:t>
      </w:r>
    </w:p>
    <w:p w:rsidR="00C60B55" w:rsidRDefault="00C60B55" w:rsidP="0060563F">
      <w:pPr>
        <w:spacing w:before="240" w:line="240" w:lineRule="auto"/>
        <w:jc w:val="both"/>
        <w:rPr>
          <w:rFonts w:ascii="Times New Roman" w:hAnsi="Times New Roman" w:cs="Times New Roman"/>
          <w:sz w:val="24"/>
          <w:szCs w:val="24"/>
        </w:rPr>
      </w:pPr>
      <w:r w:rsidRPr="00765C20">
        <w:rPr>
          <w:rFonts w:ascii="Times New Roman" w:hAnsi="Times New Roman" w:cs="Times New Roman"/>
          <w:b/>
          <w:sz w:val="24"/>
          <w:szCs w:val="24"/>
        </w:rPr>
        <w:t xml:space="preserve">Keywords- </w:t>
      </w:r>
      <w:r w:rsidRPr="00765C20">
        <w:rPr>
          <w:rFonts w:ascii="Times New Roman" w:hAnsi="Times New Roman" w:cs="Times New Roman"/>
          <w:sz w:val="24"/>
          <w:szCs w:val="24"/>
        </w:rPr>
        <w:t>insolvency, liquidation, revival, corporate insolvency resolution process.</w:t>
      </w:r>
    </w:p>
    <w:p w:rsidR="00C60B55" w:rsidRDefault="00C60B55" w:rsidP="0060563F">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C60B55" w:rsidRDefault="00C60B55"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936612">
        <w:rPr>
          <w:rFonts w:ascii="Times New Roman" w:hAnsi="Times New Roman" w:cs="Times New Roman"/>
          <w:b/>
          <w:sz w:val="24"/>
          <w:szCs w:val="24"/>
        </w:rPr>
        <w:t>Introduction</w:t>
      </w:r>
    </w:p>
    <w:p w:rsidR="00C60B55" w:rsidRPr="006B1D62" w:rsidRDefault="00C60B55"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The most important functions of impenetrable system of insolvency are that its ability to save the failing business and to allow the exit to those which are not viable. This is how the I</w:t>
      </w:r>
      <w:r>
        <w:rPr>
          <w:rFonts w:ascii="Times New Roman" w:hAnsi="Times New Roman" w:cs="Times New Roman"/>
          <w:sz w:val="24"/>
          <w:szCs w:val="24"/>
        </w:rPr>
        <w:t xml:space="preserve">nsolvency and </w:t>
      </w:r>
      <w:r w:rsidRPr="006B1D62">
        <w:rPr>
          <w:rFonts w:ascii="Times New Roman" w:hAnsi="Times New Roman" w:cs="Times New Roman"/>
          <w:sz w:val="24"/>
          <w:szCs w:val="24"/>
        </w:rPr>
        <w:t>B</w:t>
      </w:r>
      <w:r>
        <w:rPr>
          <w:rFonts w:ascii="Times New Roman" w:hAnsi="Times New Roman" w:cs="Times New Roman"/>
          <w:sz w:val="24"/>
          <w:szCs w:val="24"/>
        </w:rPr>
        <w:t xml:space="preserve">ankruptcy </w:t>
      </w:r>
      <w:r w:rsidRPr="006B1D62">
        <w:rPr>
          <w:rFonts w:ascii="Times New Roman" w:hAnsi="Times New Roman" w:cs="Times New Roman"/>
          <w:sz w:val="24"/>
          <w:szCs w:val="24"/>
        </w:rPr>
        <w:t>C</w:t>
      </w:r>
      <w:r>
        <w:rPr>
          <w:rFonts w:ascii="Times New Roman" w:hAnsi="Times New Roman" w:cs="Times New Roman"/>
          <w:sz w:val="24"/>
          <w:szCs w:val="24"/>
        </w:rPr>
        <w:t>ode, 2016</w:t>
      </w:r>
      <w:r>
        <w:rPr>
          <w:rStyle w:val="FootnoteReference"/>
          <w:rFonts w:ascii="Times New Roman" w:hAnsi="Times New Roman" w:cs="Times New Roman"/>
          <w:sz w:val="24"/>
          <w:szCs w:val="24"/>
        </w:rPr>
        <w:footnoteReference w:id="2"/>
      </w:r>
      <w:r w:rsidRPr="006B1D62">
        <w:rPr>
          <w:rFonts w:ascii="Times New Roman" w:hAnsi="Times New Roman" w:cs="Times New Roman"/>
          <w:sz w:val="24"/>
          <w:szCs w:val="24"/>
        </w:rPr>
        <w:t xml:space="preserve"> has been framed to save the sick companies. Earlier, before the enactment of the </w:t>
      </w:r>
      <w:r>
        <w:rPr>
          <w:rFonts w:ascii="Times New Roman" w:hAnsi="Times New Roman" w:cs="Times New Roman"/>
          <w:sz w:val="24"/>
          <w:szCs w:val="24"/>
        </w:rPr>
        <w:t>Code</w:t>
      </w:r>
      <w:r w:rsidRPr="006B1D62">
        <w:rPr>
          <w:rFonts w:ascii="Times New Roman" w:hAnsi="Times New Roman" w:cs="Times New Roman"/>
          <w:sz w:val="24"/>
          <w:szCs w:val="24"/>
        </w:rPr>
        <w:t xml:space="preserve"> there was no proficient manner to save the corporate, also there was no suitable manner in which the corporate could exit the market. However</w:t>
      </w:r>
      <w:r>
        <w:rPr>
          <w:rFonts w:ascii="Times New Roman" w:hAnsi="Times New Roman" w:cs="Times New Roman"/>
          <w:sz w:val="24"/>
          <w:szCs w:val="24"/>
        </w:rPr>
        <w:t>,</w:t>
      </w:r>
      <w:r w:rsidRPr="006B1D62">
        <w:rPr>
          <w:rFonts w:ascii="Times New Roman" w:hAnsi="Times New Roman" w:cs="Times New Roman"/>
          <w:sz w:val="24"/>
          <w:szCs w:val="24"/>
        </w:rPr>
        <w:t xml:space="preserve"> the enactment of </w:t>
      </w:r>
      <w:r>
        <w:rPr>
          <w:rFonts w:ascii="Times New Roman" w:hAnsi="Times New Roman" w:cs="Times New Roman"/>
          <w:sz w:val="24"/>
          <w:szCs w:val="24"/>
        </w:rPr>
        <w:t>Code</w:t>
      </w:r>
      <w:r w:rsidRPr="006B1D62">
        <w:rPr>
          <w:rFonts w:ascii="Times New Roman" w:hAnsi="Times New Roman" w:cs="Times New Roman"/>
          <w:sz w:val="24"/>
          <w:szCs w:val="24"/>
        </w:rPr>
        <w:t xml:space="preserve"> brought the change in system and offered a proficient mechanism which provided a mechanism with a time frame to complete the process of resolving the insolvency.</w:t>
      </w:r>
    </w:p>
    <w:p w:rsidR="00C60B55" w:rsidRPr="006B1D62" w:rsidRDefault="00C60B55"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The Code handles reorganization and </w:t>
      </w:r>
      <w:r>
        <w:rPr>
          <w:rFonts w:ascii="Times New Roman" w:hAnsi="Times New Roman" w:cs="Times New Roman"/>
          <w:sz w:val="24"/>
          <w:szCs w:val="24"/>
        </w:rPr>
        <w:t>insolvency of corporate debtor</w:t>
      </w:r>
      <w:r w:rsidRPr="006B1D62">
        <w:rPr>
          <w:rFonts w:ascii="Times New Roman" w:hAnsi="Times New Roman" w:cs="Times New Roman"/>
          <w:sz w:val="24"/>
          <w:szCs w:val="24"/>
        </w:rPr>
        <w:t xml:space="preserve">. Corporate debtor has been defined under section 3(8) of </w:t>
      </w:r>
      <w:r>
        <w:rPr>
          <w:rFonts w:ascii="Times New Roman" w:hAnsi="Times New Roman" w:cs="Times New Roman"/>
          <w:sz w:val="24"/>
          <w:szCs w:val="24"/>
        </w:rPr>
        <w:t>Code</w:t>
      </w:r>
      <w:r w:rsidRPr="006B1D62">
        <w:rPr>
          <w:rFonts w:ascii="Times New Roman" w:hAnsi="Times New Roman" w:cs="Times New Roman"/>
          <w:sz w:val="24"/>
          <w:szCs w:val="24"/>
        </w:rPr>
        <w:t xml:space="preserve"> as "a corporate person who owes a debt to any person". That is</w:t>
      </w:r>
      <w:r>
        <w:rPr>
          <w:rFonts w:ascii="Times New Roman" w:hAnsi="Times New Roman" w:cs="Times New Roman"/>
          <w:sz w:val="24"/>
          <w:szCs w:val="24"/>
        </w:rPr>
        <w:t xml:space="preserve"> the</w:t>
      </w:r>
      <w:r w:rsidRPr="006B1D62">
        <w:rPr>
          <w:rFonts w:ascii="Times New Roman" w:hAnsi="Times New Roman" w:cs="Times New Roman"/>
          <w:sz w:val="24"/>
          <w:szCs w:val="24"/>
        </w:rPr>
        <w:t xml:space="preserve"> person who has not paid his debts. The </w:t>
      </w:r>
      <w:r>
        <w:rPr>
          <w:rFonts w:ascii="Times New Roman" w:hAnsi="Times New Roman" w:cs="Times New Roman"/>
          <w:sz w:val="24"/>
          <w:szCs w:val="24"/>
        </w:rPr>
        <w:t>Code</w:t>
      </w:r>
      <w:r w:rsidRPr="006B1D62">
        <w:rPr>
          <w:rFonts w:ascii="Times New Roman" w:hAnsi="Times New Roman" w:cs="Times New Roman"/>
          <w:sz w:val="24"/>
          <w:szCs w:val="24"/>
        </w:rPr>
        <w:t xml:space="preserve"> provides exit mechanism not only to the defaulter but also to the corporate which has not defaulted via voluntary liquidation.</w:t>
      </w:r>
    </w:p>
    <w:p w:rsidR="009D683B" w:rsidRPr="006B1D62" w:rsidRDefault="009D683B" w:rsidP="0060563F">
      <w:pPr>
        <w:tabs>
          <w:tab w:val="left" w:pos="7680"/>
        </w:tabs>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B1D62">
        <w:rPr>
          <w:rFonts w:ascii="Times New Roman" w:hAnsi="Times New Roman" w:cs="Times New Roman"/>
          <w:b/>
          <w:sz w:val="24"/>
          <w:szCs w:val="24"/>
        </w:rPr>
        <w:t xml:space="preserve">The Structure of </w:t>
      </w:r>
      <w:r>
        <w:rPr>
          <w:rFonts w:ascii="Times New Roman" w:hAnsi="Times New Roman" w:cs="Times New Roman"/>
          <w:b/>
          <w:sz w:val="24"/>
          <w:szCs w:val="24"/>
        </w:rPr>
        <w:t>Code</w:t>
      </w:r>
      <w:r w:rsidRPr="006B1D62">
        <w:rPr>
          <w:rFonts w:ascii="Times New Roman" w:hAnsi="Times New Roman" w:cs="Times New Roman"/>
          <w:b/>
          <w:sz w:val="24"/>
          <w:szCs w:val="24"/>
        </w:rPr>
        <w:t>-</w:t>
      </w:r>
      <w:r>
        <w:rPr>
          <w:rFonts w:ascii="Times New Roman" w:hAnsi="Times New Roman" w:cs="Times New Roman"/>
          <w:b/>
          <w:sz w:val="24"/>
          <w:szCs w:val="24"/>
        </w:rPr>
        <w:tab/>
      </w:r>
    </w:p>
    <w:p w:rsidR="009D683B" w:rsidRPr="006B1D62" w:rsidRDefault="009D683B"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The </w:t>
      </w:r>
      <w:r>
        <w:rPr>
          <w:rFonts w:ascii="Times New Roman" w:hAnsi="Times New Roman" w:cs="Times New Roman"/>
          <w:sz w:val="24"/>
          <w:szCs w:val="24"/>
        </w:rPr>
        <w:t>Code</w:t>
      </w:r>
      <w:r w:rsidRPr="006B1D62">
        <w:rPr>
          <w:rFonts w:ascii="Times New Roman" w:hAnsi="Times New Roman" w:cs="Times New Roman"/>
          <w:sz w:val="24"/>
          <w:szCs w:val="24"/>
        </w:rPr>
        <w:t xml:space="preserve"> consist</w:t>
      </w:r>
      <w:r>
        <w:rPr>
          <w:rFonts w:ascii="Times New Roman" w:hAnsi="Times New Roman" w:cs="Times New Roman"/>
          <w:sz w:val="24"/>
          <w:szCs w:val="24"/>
        </w:rPr>
        <w:t>ing</w:t>
      </w:r>
      <w:r w:rsidRPr="006B1D62">
        <w:rPr>
          <w:rFonts w:ascii="Times New Roman" w:hAnsi="Times New Roman" w:cs="Times New Roman"/>
          <w:sz w:val="24"/>
          <w:szCs w:val="24"/>
        </w:rPr>
        <w:t xml:space="preserve"> of important organs </w:t>
      </w:r>
      <w:r>
        <w:rPr>
          <w:rFonts w:ascii="Times New Roman" w:hAnsi="Times New Roman" w:cs="Times New Roman"/>
          <w:sz w:val="24"/>
          <w:szCs w:val="24"/>
        </w:rPr>
        <w:t xml:space="preserve">which are responsible for the functioning of Code without any hindrance and smoothly, </w:t>
      </w:r>
      <w:r w:rsidRPr="006B1D62">
        <w:rPr>
          <w:rFonts w:ascii="Times New Roman" w:hAnsi="Times New Roman" w:cs="Times New Roman"/>
          <w:sz w:val="24"/>
          <w:szCs w:val="24"/>
        </w:rPr>
        <w:t>out of which four are described as follows-</w:t>
      </w:r>
    </w:p>
    <w:p w:rsidR="009D683B" w:rsidRPr="006B1D62" w:rsidRDefault="009D683B"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6B1D62">
        <w:rPr>
          <w:rFonts w:ascii="Times New Roman" w:hAnsi="Times New Roman" w:cs="Times New Roman"/>
          <w:b/>
          <w:sz w:val="24"/>
          <w:szCs w:val="24"/>
        </w:rPr>
        <w:t>Insolvency Professionals-</w:t>
      </w:r>
    </w:p>
    <w:p w:rsidR="004014F4" w:rsidRPr="004014F4" w:rsidRDefault="004014F4" w:rsidP="0060563F">
      <w:pPr>
        <w:spacing w:before="240" w:line="240" w:lineRule="auto"/>
        <w:jc w:val="both"/>
        <w:rPr>
          <w:rFonts w:ascii="Times New Roman" w:hAnsi="Times New Roman" w:cs="Times New Roman"/>
          <w:sz w:val="24"/>
          <w:szCs w:val="24"/>
        </w:rPr>
      </w:pPr>
      <w:r w:rsidRPr="004014F4">
        <w:rPr>
          <w:rFonts w:ascii="Times New Roman" w:hAnsi="Times New Roman" w:cs="Times New Roman"/>
          <w:sz w:val="24"/>
          <w:szCs w:val="24"/>
        </w:rPr>
        <w:t>These professionals are licensed for managing the corporate insolvency resolution process or liquidation process of the corporate debtors. The Code requires appointment of a professional to deal with the process of insolvency and liquidation of a corporate which can only be done by insolvency professional. The services provided by insolvency professional can only be provided by a person who is a member of insolvency professional agency</w:t>
      </w:r>
      <w:r w:rsidR="00606F8D">
        <w:rPr>
          <w:rStyle w:val="FootnoteReference"/>
          <w:rFonts w:ascii="Times New Roman" w:hAnsi="Times New Roman" w:cs="Times New Roman"/>
          <w:sz w:val="24"/>
          <w:szCs w:val="24"/>
        </w:rPr>
        <w:footnoteReference w:id="3"/>
      </w:r>
      <w:r w:rsidRPr="004014F4">
        <w:rPr>
          <w:rFonts w:ascii="Times New Roman" w:hAnsi="Times New Roman" w:cs="Times New Roman"/>
          <w:sz w:val="24"/>
          <w:szCs w:val="24"/>
        </w:rPr>
        <w:t xml:space="preserve">  and is also required to be registered under insolvency and bankruptcy board of India.</w:t>
      </w:r>
    </w:p>
    <w:p w:rsidR="00C60B55" w:rsidRDefault="004014F4" w:rsidP="0060563F">
      <w:pPr>
        <w:spacing w:before="240" w:line="240" w:lineRule="auto"/>
        <w:jc w:val="both"/>
        <w:rPr>
          <w:rFonts w:ascii="Times New Roman" w:hAnsi="Times New Roman" w:cs="Times New Roman"/>
          <w:sz w:val="24"/>
          <w:szCs w:val="24"/>
        </w:rPr>
      </w:pPr>
      <w:r w:rsidRPr="004014F4">
        <w:rPr>
          <w:rFonts w:ascii="Times New Roman" w:hAnsi="Times New Roman" w:cs="Times New Roman"/>
          <w:sz w:val="24"/>
          <w:szCs w:val="24"/>
        </w:rPr>
        <w:t>Insolvency And Bankruptcy Board Of India (Insolvency Professionals) Regulations, 2016  provides regulations for the registration of insolvency professionals. The regulation specifies the eligibility criteria for insolvency professional. The individual shall be eligible if he has passed the exam and has completed pre-registration educational course and also has certain experience in the area mentioned under regulation 5.</w:t>
      </w:r>
    </w:p>
    <w:p w:rsidR="00E411BD" w:rsidRPr="006B1D62" w:rsidRDefault="00E411BD" w:rsidP="0060563F">
      <w:pPr>
        <w:spacing w:before="240" w:line="240" w:lineRule="auto"/>
        <w:jc w:val="both"/>
        <w:rPr>
          <w:rFonts w:ascii="Times New Roman" w:hAnsi="Times New Roman" w:cs="Times New Roman"/>
          <w:b/>
          <w:sz w:val="24"/>
          <w:szCs w:val="24"/>
        </w:rPr>
      </w:pPr>
      <w:r w:rsidRPr="00E411BD">
        <w:rPr>
          <w:rFonts w:ascii="Times New Roman" w:hAnsi="Times New Roman" w:cs="Times New Roman"/>
          <w:b/>
          <w:sz w:val="24"/>
          <w:szCs w:val="24"/>
        </w:rPr>
        <w:t xml:space="preserve">2.2. </w:t>
      </w:r>
      <w:r w:rsidRPr="006B1D62">
        <w:rPr>
          <w:rFonts w:ascii="Times New Roman" w:hAnsi="Times New Roman" w:cs="Times New Roman"/>
          <w:b/>
          <w:sz w:val="24"/>
          <w:szCs w:val="24"/>
        </w:rPr>
        <w:t xml:space="preserve">Information Utilities- </w:t>
      </w:r>
    </w:p>
    <w:p w:rsidR="00E411BD" w:rsidRPr="006B1D62" w:rsidRDefault="00E411BD"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Information utilities collect the financial information which are to be used in the resolution of insolvency and then bring those information together with the intention to relate it and authenticate it further and then circulate it with the others when required. The information is ought from information utilities during the process of liquidation. The need of such organ was there because in India the information has most of the time put a halt in the process of liquidation. As the creditors do not have sufficient information about the debtor and in order to collect the information the time is required which in turn delays the process. I</w:t>
      </w:r>
      <w:r>
        <w:rPr>
          <w:rFonts w:ascii="Times New Roman" w:hAnsi="Times New Roman" w:cs="Times New Roman"/>
          <w:sz w:val="24"/>
          <w:szCs w:val="24"/>
        </w:rPr>
        <w:t>n</w:t>
      </w:r>
      <w:r w:rsidRPr="006B1D62">
        <w:rPr>
          <w:rFonts w:ascii="Times New Roman" w:hAnsi="Times New Roman" w:cs="Times New Roman"/>
          <w:sz w:val="24"/>
          <w:szCs w:val="24"/>
        </w:rPr>
        <w:t xml:space="preserve"> order to get rid of </w:t>
      </w:r>
      <w:r w:rsidRPr="006B1D62">
        <w:rPr>
          <w:rFonts w:ascii="Times New Roman" w:hAnsi="Times New Roman" w:cs="Times New Roman"/>
          <w:sz w:val="24"/>
          <w:szCs w:val="24"/>
        </w:rPr>
        <w:lastRenderedPageBreak/>
        <w:t>such issue</w:t>
      </w:r>
      <w:r>
        <w:rPr>
          <w:rFonts w:ascii="Times New Roman" w:hAnsi="Times New Roman" w:cs="Times New Roman"/>
          <w:sz w:val="24"/>
          <w:szCs w:val="24"/>
        </w:rPr>
        <w:t>,</w:t>
      </w:r>
      <w:r w:rsidRPr="006B1D62">
        <w:rPr>
          <w:rFonts w:ascii="Times New Roman" w:hAnsi="Times New Roman" w:cs="Times New Roman"/>
          <w:sz w:val="24"/>
          <w:szCs w:val="24"/>
        </w:rPr>
        <w:t xml:space="preserve"> with the enactment of </w:t>
      </w:r>
      <w:r>
        <w:rPr>
          <w:rFonts w:ascii="Times New Roman" w:hAnsi="Times New Roman" w:cs="Times New Roman"/>
          <w:sz w:val="24"/>
          <w:szCs w:val="24"/>
        </w:rPr>
        <w:t xml:space="preserve">Code, such body </w:t>
      </w:r>
      <w:r w:rsidRPr="006B1D62">
        <w:rPr>
          <w:rFonts w:ascii="Times New Roman" w:hAnsi="Times New Roman" w:cs="Times New Roman"/>
          <w:sz w:val="24"/>
          <w:szCs w:val="24"/>
        </w:rPr>
        <w:t>was created which would gather the information regarding finances of the debtor and would authenticate the same.</w:t>
      </w:r>
    </w:p>
    <w:p w:rsidR="00E411BD" w:rsidRDefault="00E411BD"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Section 3(21) </w:t>
      </w:r>
      <w:r>
        <w:rPr>
          <w:rFonts w:ascii="Times New Roman" w:hAnsi="Times New Roman" w:cs="Times New Roman"/>
          <w:sz w:val="24"/>
          <w:szCs w:val="24"/>
        </w:rPr>
        <w:t xml:space="preserve">of the Code </w:t>
      </w:r>
      <w:r w:rsidRPr="006B1D62">
        <w:rPr>
          <w:rFonts w:ascii="Times New Roman" w:hAnsi="Times New Roman" w:cs="Times New Roman"/>
          <w:sz w:val="24"/>
          <w:szCs w:val="24"/>
        </w:rPr>
        <w:t>defines information utilities as "a person who is registered with the Board as an information utility under section 210".</w:t>
      </w:r>
    </w:p>
    <w:p w:rsidR="00E411BD" w:rsidRDefault="00E411BD"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6B1D62">
        <w:rPr>
          <w:rFonts w:ascii="Times New Roman" w:hAnsi="Times New Roman" w:cs="Times New Roman"/>
          <w:b/>
          <w:sz w:val="24"/>
          <w:szCs w:val="24"/>
        </w:rPr>
        <w:t>Adjudicating Authorities-</w:t>
      </w:r>
    </w:p>
    <w:p w:rsidR="007603C6" w:rsidRDefault="004C3FD0" w:rsidP="0060563F">
      <w:pPr>
        <w:autoSpaceDE w:val="0"/>
        <w:autoSpaceDN w:val="0"/>
        <w:adjustRightInd w:val="0"/>
        <w:spacing w:before="240" w:after="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Adjudicating authorities adjudicate the matters arising under </w:t>
      </w:r>
      <w:r>
        <w:rPr>
          <w:rFonts w:ascii="Times New Roman" w:hAnsi="Times New Roman" w:cs="Times New Roman"/>
          <w:sz w:val="24"/>
          <w:szCs w:val="24"/>
        </w:rPr>
        <w:t>Code whose</w:t>
      </w:r>
      <w:r w:rsidRPr="006B1D62">
        <w:rPr>
          <w:rFonts w:ascii="Times New Roman" w:hAnsi="Times New Roman" w:cs="Times New Roman"/>
          <w:sz w:val="24"/>
          <w:szCs w:val="24"/>
        </w:rPr>
        <w:t xml:space="preserve"> main function </w:t>
      </w:r>
      <w:r>
        <w:rPr>
          <w:rFonts w:ascii="Times New Roman" w:hAnsi="Times New Roman" w:cs="Times New Roman"/>
          <w:sz w:val="24"/>
          <w:szCs w:val="24"/>
        </w:rPr>
        <w:t>is</w:t>
      </w:r>
      <w:r w:rsidRPr="006B1D62">
        <w:rPr>
          <w:rFonts w:ascii="Times New Roman" w:hAnsi="Times New Roman" w:cs="Times New Roman"/>
          <w:sz w:val="24"/>
          <w:szCs w:val="24"/>
        </w:rPr>
        <w:t xml:space="preserve"> to ensure that the insolvency and liquidation process is performed according the rules and regulation of </w:t>
      </w:r>
      <w:r>
        <w:rPr>
          <w:rFonts w:ascii="Times New Roman" w:hAnsi="Times New Roman" w:cs="Times New Roman"/>
          <w:sz w:val="24"/>
          <w:szCs w:val="24"/>
        </w:rPr>
        <w:t>Code</w:t>
      </w:r>
      <w:r w:rsidRPr="006B1D62">
        <w:rPr>
          <w:rFonts w:ascii="Times New Roman" w:hAnsi="Times New Roman" w:cs="Times New Roman"/>
          <w:sz w:val="24"/>
          <w:szCs w:val="24"/>
        </w:rPr>
        <w:t>. National Company Law Tribunal (NCLT)</w:t>
      </w:r>
      <w:r>
        <w:rPr>
          <w:rStyle w:val="FootnoteReference"/>
          <w:rFonts w:cs="Times New Roman"/>
          <w:sz w:val="24"/>
          <w:szCs w:val="24"/>
        </w:rPr>
        <w:footnoteReference w:id="4"/>
      </w:r>
      <w:r w:rsidRPr="006B1D62">
        <w:rPr>
          <w:rFonts w:ascii="Times New Roman" w:hAnsi="Times New Roman" w:cs="Times New Roman"/>
          <w:sz w:val="24"/>
          <w:szCs w:val="24"/>
        </w:rPr>
        <w:t xml:space="preserve"> </w:t>
      </w:r>
      <w:r w:rsidR="00124B80">
        <w:rPr>
          <w:rFonts w:ascii="Times New Roman" w:hAnsi="Times New Roman" w:cs="Times New Roman"/>
          <w:sz w:val="24"/>
          <w:szCs w:val="24"/>
        </w:rPr>
        <w:t>adjudicate under</w:t>
      </w:r>
      <w:r w:rsidRPr="006B1D62">
        <w:rPr>
          <w:rFonts w:ascii="Times New Roman" w:hAnsi="Times New Roman" w:cs="Times New Roman"/>
          <w:sz w:val="24"/>
          <w:szCs w:val="24"/>
        </w:rPr>
        <w:t xml:space="preserve"> </w:t>
      </w:r>
      <w:r>
        <w:rPr>
          <w:rFonts w:ascii="Times New Roman" w:hAnsi="Times New Roman" w:cs="Times New Roman"/>
          <w:sz w:val="24"/>
          <w:szCs w:val="24"/>
        </w:rPr>
        <w:t>Code</w:t>
      </w:r>
      <w:r w:rsidRPr="006B1D62">
        <w:rPr>
          <w:rFonts w:ascii="Times New Roman" w:hAnsi="Times New Roman" w:cs="Times New Roman"/>
          <w:sz w:val="24"/>
          <w:szCs w:val="24"/>
        </w:rPr>
        <w:t>.</w:t>
      </w:r>
      <w:r w:rsidRPr="006B1D62">
        <w:rPr>
          <w:rStyle w:val="FootnoteReference"/>
          <w:rFonts w:cs="Times New Roman"/>
          <w:sz w:val="24"/>
          <w:szCs w:val="24"/>
        </w:rPr>
        <w:footnoteReference w:id="5"/>
      </w:r>
      <w:r w:rsidRPr="006B1D62">
        <w:rPr>
          <w:rFonts w:ascii="Times New Roman" w:hAnsi="Times New Roman" w:cs="Times New Roman"/>
          <w:sz w:val="24"/>
          <w:szCs w:val="24"/>
        </w:rPr>
        <w:t xml:space="preserve"> Section 408</w:t>
      </w:r>
      <w:r>
        <w:rPr>
          <w:rFonts w:ascii="Times New Roman" w:hAnsi="Times New Roman" w:cs="Times New Roman"/>
          <w:sz w:val="24"/>
          <w:szCs w:val="24"/>
        </w:rPr>
        <w:t xml:space="preserve"> of Companies Act, 2013</w:t>
      </w:r>
      <w:r>
        <w:rPr>
          <w:rStyle w:val="FootnoteReference"/>
          <w:rFonts w:cs="Times New Roman"/>
          <w:sz w:val="24"/>
          <w:szCs w:val="24"/>
        </w:rPr>
        <w:footnoteReference w:id="6"/>
      </w:r>
      <w:r w:rsidRPr="006B1D62">
        <w:rPr>
          <w:rFonts w:ascii="Times New Roman" w:hAnsi="Times New Roman" w:cs="Times New Roman"/>
          <w:sz w:val="24"/>
          <w:szCs w:val="24"/>
        </w:rPr>
        <w:t xml:space="preserve"> mentions about establishment of NCLT. The NCLT has been further endowed with the powers of Debt Recovery Tribunal.</w:t>
      </w:r>
      <w:r w:rsidRPr="006B1D62">
        <w:rPr>
          <w:rStyle w:val="FootnoteReference"/>
          <w:rFonts w:cs="Times New Roman"/>
          <w:sz w:val="24"/>
          <w:szCs w:val="24"/>
        </w:rPr>
        <w:footnoteReference w:id="7"/>
      </w:r>
      <w:r w:rsidRPr="006B1D62">
        <w:rPr>
          <w:rFonts w:ascii="Times New Roman" w:hAnsi="Times New Roman" w:cs="Times New Roman"/>
          <w:sz w:val="24"/>
          <w:szCs w:val="24"/>
        </w:rPr>
        <w:t xml:space="preserve"> The NCLT also look into </w:t>
      </w:r>
      <w:r>
        <w:rPr>
          <w:rFonts w:ascii="Times New Roman" w:hAnsi="Times New Roman" w:cs="Times New Roman"/>
          <w:sz w:val="24"/>
          <w:szCs w:val="24"/>
        </w:rPr>
        <w:t>liquidation of personal</w:t>
      </w:r>
      <w:r w:rsidRPr="006B1D62">
        <w:rPr>
          <w:rFonts w:ascii="Times New Roman" w:hAnsi="Times New Roman" w:cs="Times New Roman"/>
          <w:sz w:val="24"/>
          <w:szCs w:val="24"/>
        </w:rPr>
        <w:t xml:space="preserve"> guarantors of corporate debtors. The jurisdiction of NCLT is mention under section 60(5) </w:t>
      </w:r>
      <w:r>
        <w:rPr>
          <w:rFonts w:ascii="Times New Roman" w:hAnsi="Times New Roman" w:cs="Times New Roman"/>
          <w:sz w:val="24"/>
          <w:szCs w:val="24"/>
        </w:rPr>
        <w:t>of the Code.</w:t>
      </w:r>
      <w:r w:rsidR="001F0D73">
        <w:rPr>
          <w:rFonts w:ascii="Times New Roman" w:hAnsi="Times New Roman" w:cs="Times New Roman"/>
          <w:sz w:val="24"/>
          <w:szCs w:val="24"/>
        </w:rPr>
        <w:t xml:space="preserve"> </w:t>
      </w:r>
      <w:r w:rsidR="007603C6" w:rsidRPr="006B1D62">
        <w:rPr>
          <w:rFonts w:ascii="Times New Roman" w:hAnsi="Times New Roman" w:cs="Times New Roman"/>
          <w:sz w:val="24"/>
          <w:szCs w:val="24"/>
        </w:rPr>
        <w:t>Debt Recovery Tribunal is a</w:t>
      </w:r>
      <w:r w:rsidR="007603C6">
        <w:rPr>
          <w:rFonts w:ascii="Times New Roman" w:hAnsi="Times New Roman" w:cs="Times New Roman"/>
          <w:sz w:val="24"/>
          <w:szCs w:val="24"/>
        </w:rPr>
        <w:t>lso the adjudicating authority having jurisdiction u</w:t>
      </w:r>
      <w:r w:rsidR="007603C6" w:rsidRPr="006B1D62">
        <w:rPr>
          <w:rFonts w:ascii="Times New Roman" w:hAnsi="Times New Roman" w:cs="Times New Roman"/>
          <w:sz w:val="24"/>
          <w:szCs w:val="24"/>
        </w:rPr>
        <w:t xml:space="preserve">nder section 79(1) </w:t>
      </w:r>
      <w:r w:rsidR="007603C6">
        <w:rPr>
          <w:rFonts w:ascii="Times New Roman" w:hAnsi="Times New Roman" w:cs="Times New Roman"/>
          <w:sz w:val="24"/>
          <w:szCs w:val="24"/>
        </w:rPr>
        <w:t>of the Code</w:t>
      </w:r>
      <w:r w:rsidR="007603C6" w:rsidRPr="006B1D62">
        <w:rPr>
          <w:rFonts w:ascii="Times New Roman" w:hAnsi="Times New Roman" w:cs="Times New Roman"/>
          <w:sz w:val="24"/>
          <w:szCs w:val="24"/>
        </w:rPr>
        <w:t xml:space="preserve">. </w:t>
      </w:r>
      <w:r w:rsidR="001F0D73" w:rsidRPr="001F0D73">
        <w:rPr>
          <w:rFonts w:ascii="Times New Roman" w:hAnsi="Times New Roman" w:cs="Times New Roman"/>
          <w:sz w:val="24"/>
          <w:szCs w:val="24"/>
        </w:rPr>
        <w:t xml:space="preserve">The apex court </w:t>
      </w:r>
      <w:r w:rsidR="001F0D73">
        <w:rPr>
          <w:rFonts w:ascii="Times New Roman" w:hAnsi="Times New Roman" w:cs="Times New Roman"/>
          <w:sz w:val="24"/>
          <w:szCs w:val="24"/>
        </w:rPr>
        <w:t>i</w:t>
      </w:r>
      <w:r w:rsidR="007603C6" w:rsidRPr="006B1D62">
        <w:rPr>
          <w:rFonts w:ascii="Times New Roman" w:hAnsi="Times New Roman" w:cs="Times New Roman"/>
          <w:sz w:val="24"/>
          <w:szCs w:val="24"/>
        </w:rPr>
        <w:t xml:space="preserve">n </w:t>
      </w:r>
      <w:r w:rsidR="007603C6" w:rsidRPr="00ED30C9">
        <w:rPr>
          <w:rFonts w:ascii="Times New Roman" w:hAnsi="Times New Roman" w:cs="Times New Roman"/>
          <w:b/>
          <w:sz w:val="24"/>
          <w:szCs w:val="24"/>
        </w:rPr>
        <w:t>Committee of Creditors of Essar Steel India Limited Through Authorized Signatory Vs. Satish Kumar Gupta &amp; Others,</w:t>
      </w:r>
      <w:r w:rsidR="007603C6" w:rsidRPr="00ED30C9">
        <w:rPr>
          <w:rStyle w:val="FootnoteReference"/>
          <w:rFonts w:cs="Times New Roman"/>
          <w:sz w:val="24"/>
          <w:szCs w:val="24"/>
        </w:rPr>
        <w:footnoteReference w:id="8"/>
      </w:r>
      <w:r w:rsidR="007603C6" w:rsidRPr="006B1D62">
        <w:rPr>
          <w:rFonts w:ascii="Times New Roman" w:hAnsi="Times New Roman" w:cs="Times New Roman"/>
          <w:sz w:val="24"/>
          <w:szCs w:val="24"/>
        </w:rPr>
        <w:t xml:space="preserve"> has held that all the question of fact or law arising under </w:t>
      </w:r>
      <w:r w:rsidR="007603C6">
        <w:rPr>
          <w:rFonts w:ascii="Times New Roman" w:hAnsi="Times New Roman" w:cs="Times New Roman"/>
          <w:sz w:val="24"/>
          <w:szCs w:val="24"/>
        </w:rPr>
        <w:t>Code</w:t>
      </w:r>
      <w:r w:rsidR="007603C6" w:rsidRPr="006B1D62">
        <w:rPr>
          <w:rFonts w:ascii="Times New Roman" w:hAnsi="Times New Roman" w:cs="Times New Roman"/>
          <w:sz w:val="24"/>
          <w:szCs w:val="24"/>
        </w:rPr>
        <w:t xml:space="preserve"> shall be decide by adjudicating authority.</w:t>
      </w:r>
    </w:p>
    <w:p w:rsidR="00714E04" w:rsidRPr="006B1D62" w:rsidRDefault="00714E04"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Aggrieved party can make an </w:t>
      </w:r>
      <w:r w:rsidRPr="006B1D62">
        <w:rPr>
          <w:rFonts w:ascii="Times New Roman" w:hAnsi="Times New Roman" w:cs="Times New Roman"/>
          <w:sz w:val="24"/>
          <w:szCs w:val="24"/>
        </w:rPr>
        <w:t xml:space="preserve">appeal to </w:t>
      </w:r>
      <w:r w:rsidR="003A179F">
        <w:rPr>
          <w:rFonts w:ascii="Times New Roman" w:hAnsi="Times New Roman" w:cs="Times New Roman"/>
          <w:sz w:val="24"/>
          <w:szCs w:val="24"/>
        </w:rPr>
        <w:t xml:space="preserve">NCLAT within 30 days, however, </w:t>
      </w:r>
      <w:r w:rsidR="003A179F" w:rsidRPr="003A179F">
        <w:rPr>
          <w:rFonts w:ascii="Times New Roman" w:hAnsi="Times New Roman" w:cs="Times New Roman"/>
          <w:sz w:val="24"/>
          <w:szCs w:val="24"/>
        </w:rPr>
        <w:t>NCLAT</w:t>
      </w:r>
      <w:r w:rsidR="003A179F">
        <w:rPr>
          <w:rFonts w:ascii="Times New Roman" w:hAnsi="Times New Roman" w:cs="Times New Roman"/>
          <w:sz w:val="24"/>
          <w:szCs w:val="24"/>
        </w:rPr>
        <w:t xml:space="preserve"> may on being satisfied</w:t>
      </w:r>
      <w:r w:rsidR="00DB7E54">
        <w:rPr>
          <w:rFonts w:ascii="Times New Roman" w:hAnsi="Times New Roman" w:cs="Times New Roman"/>
          <w:sz w:val="24"/>
          <w:szCs w:val="24"/>
        </w:rPr>
        <w:t xml:space="preserve"> of the sufficient cause allow the appeal after </w:t>
      </w:r>
      <w:r w:rsidR="00DB7E54" w:rsidRPr="00DB7E54">
        <w:rPr>
          <w:rFonts w:ascii="Times New Roman" w:hAnsi="Times New Roman" w:cs="Times New Roman"/>
          <w:sz w:val="24"/>
          <w:szCs w:val="24"/>
        </w:rPr>
        <w:t>expiry of the period</w:t>
      </w:r>
      <w:r w:rsidR="001169B9">
        <w:rPr>
          <w:rFonts w:ascii="Times New Roman" w:hAnsi="Times New Roman" w:cs="Times New Roman"/>
          <w:sz w:val="24"/>
          <w:szCs w:val="24"/>
        </w:rPr>
        <w:t>, but not beyond 15 days.</w:t>
      </w:r>
      <w:r w:rsidR="001169B9">
        <w:rPr>
          <w:rStyle w:val="FootnoteReference"/>
          <w:rFonts w:ascii="Times New Roman" w:hAnsi="Times New Roman" w:cs="Times New Roman"/>
          <w:sz w:val="24"/>
          <w:szCs w:val="24"/>
        </w:rPr>
        <w:footnoteReference w:id="9"/>
      </w:r>
      <w:r w:rsidRPr="006B1D62">
        <w:rPr>
          <w:rFonts w:ascii="Times New Roman" w:hAnsi="Times New Roman" w:cs="Times New Roman"/>
          <w:sz w:val="24"/>
          <w:szCs w:val="24"/>
        </w:rPr>
        <w:t xml:space="preserve"> </w:t>
      </w:r>
      <w:r>
        <w:rPr>
          <w:rFonts w:ascii="Times New Roman" w:hAnsi="Times New Roman" w:cs="Times New Roman"/>
          <w:sz w:val="24"/>
          <w:szCs w:val="24"/>
        </w:rPr>
        <w:t>The appeal</w:t>
      </w:r>
      <w:r w:rsidRPr="006B1D62">
        <w:rPr>
          <w:rFonts w:ascii="Times New Roman" w:hAnsi="Times New Roman" w:cs="Times New Roman"/>
          <w:sz w:val="24"/>
          <w:szCs w:val="24"/>
        </w:rPr>
        <w:t xml:space="preserve"> can be filed against the approval of resolution on the basis of the grounds mention</w:t>
      </w:r>
      <w:r>
        <w:rPr>
          <w:rFonts w:ascii="Times New Roman" w:hAnsi="Times New Roman" w:cs="Times New Roman"/>
          <w:sz w:val="24"/>
          <w:szCs w:val="24"/>
        </w:rPr>
        <w:t xml:space="preserve">ed under section 61(3) of the </w:t>
      </w:r>
      <w:r w:rsidRPr="006B1D62">
        <w:rPr>
          <w:rFonts w:ascii="Times New Roman" w:hAnsi="Times New Roman" w:cs="Times New Roman"/>
          <w:sz w:val="24"/>
          <w:szCs w:val="24"/>
        </w:rPr>
        <w:t>C</w:t>
      </w:r>
      <w:r>
        <w:rPr>
          <w:rFonts w:ascii="Times New Roman" w:hAnsi="Times New Roman" w:cs="Times New Roman"/>
          <w:sz w:val="24"/>
          <w:szCs w:val="24"/>
        </w:rPr>
        <w:t>ode</w:t>
      </w:r>
      <w:r w:rsidRPr="006B1D62">
        <w:rPr>
          <w:rFonts w:ascii="Times New Roman" w:hAnsi="Times New Roman" w:cs="Times New Roman"/>
          <w:sz w:val="24"/>
          <w:szCs w:val="24"/>
        </w:rPr>
        <w:t>.</w:t>
      </w:r>
      <w:r w:rsidR="000D1345">
        <w:rPr>
          <w:rFonts w:ascii="Times New Roman" w:hAnsi="Times New Roman" w:cs="Times New Roman"/>
          <w:sz w:val="24"/>
          <w:szCs w:val="24"/>
        </w:rPr>
        <w:t xml:space="preserve"> Further appeal could be made to </w:t>
      </w:r>
      <w:r w:rsidR="000D1345" w:rsidRPr="000D1345">
        <w:rPr>
          <w:rFonts w:ascii="Times New Roman" w:hAnsi="Times New Roman" w:cs="Times New Roman"/>
          <w:sz w:val="24"/>
          <w:szCs w:val="24"/>
        </w:rPr>
        <w:t>Supreme Court</w:t>
      </w:r>
      <w:r w:rsidR="00435AE8">
        <w:rPr>
          <w:rFonts w:ascii="Times New Roman" w:hAnsi="Times New Roman" w:cs="Times New Roman"/>
          <w:sz w:val="24"/>
          <w:szCs w:val="24"/>
        </w:rPr>
        <w:t xml:space="preserve"> and the appeal shall be accepted only </w:t>
      </w:r>
      <w:r w:rsidR="00435AE8" w:rsidRPr="00435AE8">
        <w:rPr>
          <w:rFonts w:ascii="Times New Roman" w:hAnsi="Times New Roman" w:cs="Times New Roman"/>
          <w:sz w:val="24"/>
          <w:szCs w:val="24"/>
        </w:rPr>
        <w:t>on the question of l</w:t>
      </w:r>
      <w:r w:rsidR="00435AE8">
        <w:rPr>
          <w:rFonts w:ascii="Times New Roman" w:hAnsi="Times New Roman" w:cs="Times New Roman"/>
          <w:sz w:val="24"/>
          <w:szCs w:val="24"/>
        </w:rPr>
        <w:t>aw and not on question of fact.</w:t>
      </w:r>
      <w:r w:rsidR="00435AE8">
        <w:rPr>
          <w:rStyle w:val="FootnoteReference"/>
          <w:rFonts w:ascii="Times New Roman" w:hAnsi="Times New Roman" w:cs="Times New Roman"/>
          <w:sz w:val="24"/>
          <w:szCs w:val="24"/>
        </w:rPr>
        <w:footnoteReference w:id="10"/>
      </w:r>
      <w:r w:rsidR="00435AE8" w:rsidRPr="00435AE8">
        <w:rPr>
          <w:rFonts w:ascii="Times New Roman" w:hAnsi="Times New Roman" w:cs="Times New Roman"/>
          <w:sz w:val="24"/>
          <w:szCs w:val="24"/>
        </w:rPr>
        <w:t xml:space="preserve"> </w:t>
      </w:r>
    </w:p>
    <w:p w:rsidR="00A17C38" w:rsidRDefault="00A17C38"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The Supreme </w:t>
      </w:r>
      <w:r w:rsidR="005D1486">
        <w:rPr>
          <w:rFonts w:ascii="Times New Roman" w:hAnsi="Times New Roman" w:cs="Times New Roman"/>
          <w:sz w:val="24"/>
          <w:szCs w:val="24"/>
        </w:rPr>
        <w:t>Court in</w:t>
      </w:r>
      <w:r w:rsidRPr="006B1D62">
        <w:rPr>
          <w:rFonts w:ascii="Times New Roman" w:hAnsi="Times New Roman" w:cs="Times New Roman"/>
          <w:sz w:val="24"/>
          <w:szCs w:val="24"/>
        </w:rPr>
        <w:t xml:space="preserve"> </w:t>
      </w:r>
      <w:r w:rsidRPr="006B1D62">
        <w:rPr>
          <w:rFonts w:ascii="Times New Roman" w:hAnsi="Times New Roman" w:cs="Times New Roman"/>
          <w:b/>
          <w:sz w:val="24"/>
          <w:szCs w:val="24"/>
        </w:rPr>
        <w:t>M/s Embassy Property Developments Pvt. Ltd. Vs. State of Karnataka &amp; Others</w:t>
      </w:r>
      <w:r w:rsidRPr="006B1D62">
        <w:rPr>
          <w:rFonts w:ascii="Times New Roman" w:hAnsi="Times New Roman" w:cs="Times New Roman"/>
          <w:sz w:val="24"/>
          <w:szCs w:val="24"/>
        </w:rPr>
        <w:t>,</w:t>
      </w:r>
      <w:r w:rsidRPr="006B1D62">
        <w:rPr>
          <w:rStyle w:val="FootnoteReference"/>
          <w:rFonts w:ascii="Times New Roman" w:hAnsi="Times New Roman" w:cs="Times New Roman"/>
          <w:sz w:val="24"/>
          <w:szCs w:val="24"/>
        </w:rPr>
        <w:footnoteReference w:id="11"/>
      </w:r>
      <w:r w:rsidRPr="006B1D62">
        <w:rPr>
          <w:rFonts w:ascii="Times New Roman" w:hAnsi="Times New Roman" w:cs="Times New Roman"/>
          <w:b/>
          <w:sz w:val="24"/>
          <w:szCs w:val="24"/>
        </w:rPr>
        <w:t xml:space="preserve"> </w:t>
      </w:r>
      <w:r w:rsidRPr="006B1D62">
        <w:rPr>
          <w:rFonts w:ascii="Times New Roman" w:hAnsi="Times New Roman" w:cs="Times New Roman"/>
          <w:sz w:val="24"/>
          <w:szCs w:val="24"/>
        </w:rPr>
        <w:t xml:space="preserve">held that </w:t>
      </w:r>
      <w:r w:rsidRPr="00A17C38">
        <w:rPr>
          <w:rFonts w:ascii="Times New Roman" w:hAnsi="Times New Roman" w:cs="Times New Roman"/>
          <w:sz w:val="24"/>
          <w:szCs w:val="24"/>
        </w:rPr>
        <w:t>NCLT is a special body dealing with specific provisions and only Supreme Court can deal with the topic of judicial review over an administrative action.</w:t>
      </w:r>
      <w:r w:rsidR="00370601">
        <w:rPr>
          <w:rFonts w:ascii="Times New Roman" w:hAnsi="Times New Roman" w:cs="Times New Roman"/>
          <w:sz w:val="24"/>
          <w:szCs w:val="24"/>
        </w:rPr>
        <w:t xml:space="preserve"> </w:t>
      </w:r>
      <w:r w:rsidRPr="00A17C38">
        <w:rPr>
          <w:rFonts w:ascii="Times New Roman" w:hAnsi="Times New Roman" w:cs="Times New Roman"/>
          <w:sz w:val="24"/>
          <w:szCs w:val="24"/>
        </w:rPr>
        <w:t>Also, the civil court has no jurisdiction over any case that NCLT has authority over. The adjudicating authority has jurisdiction to penalize those who maliciously start insolvency or liquidation proceedings.</w:t>
      </w:r>
    </w:p>
    <w:p w:rsidR="004F68C9" w:rsidRPr="006B1D62" w:rsidRDefault="004F68C9" w:rsidP="0060563F">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2.4. </w:t>
      </w:r>
      <w:r w:rsidRPr="006B1D62">
        <w:rPr>
          <w:rFonts w:ascii="Times New Roman" w:hAnsi="Times New Roman" w:cs="Times New Roman"/>
          <w:b/>
          <w:sz w:val="24"/>
          <w:szCs w:val="24"/>
        </w:rPr>
        <w:t>Insolvency and Bankruptcy Board of India-</w:t>
      </w:r>
      <w:r w:rsidRPr="006B1D62">
        <w:rPr>
          <w:rFonts w:ascii="Times New Roman" w:hAnsi="Times New Roman" w:cs="Times New Roman"/>
          <w:sz w:val="24"/>
          <w:szCs w:val="24"/>
        </w:rPr>
        <w:t xml:space="preserve"> </w:t>
      </w:r>
    </w:p>
    <w:p w:rsidR="007603C6" w:rsidRDefault="00EC2155" w:rsidP="0060563F">
      <w:pPr>
        <w:spacing w:before="240" w:line="240" w:lineRule="auto"/>
        <w:jc w:val="both"/>
        <w:rPr>
          <w:rFonts w:ascii="Times New Roman" w:hAnsi="Times New Roman" w:cs="Times New Roman"/>
          <w:sz w:val="24"/>
          <w:szCs w:val="24"/>
        </w:rPr>
      </w:pPr>
      <w:r w:rsidRPr="00EC2155">
        <w:rPr>
          <w:rFonts w:ascii="Times New Roman" w:hAnsi="Times New Roman" w:cs="Times New Roman"/>
          <w:sz w:val="24"/>
          <w:szCs w:val="24"/>
        </w:rPr>
        <w:t xml:space="preserve">The Board is </w:t>
      </w:r>
      <w:r w:rsidR="00DD7162">
        <w:rPr>
          <w:rFonts w:ascii="Times New Roman" w:hAnsi="Times New Roman" w:cs="Times New Roman"/>
          <w:sz w:val="24"/>
          <w:szCs w:val="24"/>
        </w:rPr>
        <w:t>established</w:t>
      </w:r>
      <w:r w:rsidRPr="00EC2155">
        <w:rPr>
          <w:rFonts w:ascii="Times New Roman" w:hAnsi="Times New Roman" w:cs="Times New Roman"/>
          <w:sz w:val="24"/>
          <w:szCs w:val="24"/>
        </w:rPr>
        <w:t xml:space="preserve"> under </w:t>
      </w:r>
      <w:r w:rsidR="007D21AD">
        <w:rPr>
          <w:rFonts w:ascii="Times New Roman" w:hAnsi="Times New Roman" w:cs="Times New Roman"/>
          <w:sz w:val="24"/>
          <w:szCs w:val="24"/>
        </w:rPr>
        <w:t xml:space="preserve">IBC's section 188 to </w:t>
      </w:r>
      <w:r w:rsidR="007D21AD" w:rsidRPr="007D21AD">
        <w:rPr>
          <w:rFonts w:ascii="Times New Roman" w:hAnsi="Times New Roman" w:cs="Times New Roman"/>
          <w:sz w:val="24"/>
          <w:szCs w:val="24"/>
        </w:rPr>
        <w:t>regulate the affairs and also accountable for implementation of IBC.</w:t>
      </w:r>
      <w:r w:rsidR="00F467B6">
        <w:rPr>
          <w:rFonts w:ascii="Times New Roman" w:hAnsi="Times New Roman" w:cs="Times New Roman"/>
          <w:sz w:val="24"/>
          <w:szCs w:val="24"/>
        </w:rPr>
        <w:t xml:space="preserve"> </w:t>
      </w:r>
      <w:r w:rsidRPr="00EC2155">
        <w:rPr>
          <w:rFonts w:ascii="Times New Roman" w:hAnsi="Times New Roman" w:cs="Times New Roman"/>
          <w:sz w:val="24"/>
          <w:szCs w:val="24"/>
        </w:rPr>
        <w:t>The Board is responsible for regulating professional and transactional issues.</w:t>
      </w:r>
      <w:r w:rsidR="00F467B6">
        <w:rPr>
          <w:rFonts w:ascii="Times New Roman" w:hAnsi="Times New Roman" w:cs="Times New Roman"/>
          <w:sz w:val="24"/>
          <w:szCs w:val="24"/>
        </w:rPr>
        <w:t xml:space="preserve"> Section 189 </w:t>
      </w:r>
      <w:r w:rsidR="00721495">
        <w:rPr>
          <w:rFonts w:ascii="Times New Roman" w:hAnsi="Times New Roman" w:cs="Times New Roman"/>
          <w:sz w:val="24"/>
          <w:szCs w:val="24"/>
        </w:rPr>
        <w:t xml:space="preserve">of the Code mentions Board shall consist of </w:t>
      </w:r>
      <w:r w:rsidR="00721495" w:rsidRPr="00721495">
        <w:rPr>
          <w:rFonts w:ascii="Times New Roman" w:hAnsi="Times New Roman" w:cs="Times New Roman"/>
          <w:sz w:val="24"/>
          <w:szCs w:val="24"/>
        </w:rPr>
        <w:t>chairperson</w:t>
      </w:r>
      <w:r w:rsidR="00BC4A6E">
        <w:rPr>
          <w:rFonts w:ascii="Times New Roman" w:hAnsi="Times New Roman" w:cs="Times New Roman"/>
          <w:sz w:val="24"/>
          <w:szCs w:val="24"/>
        </w:rPr>
        <w:t xml:space="preserve">, 3 Central Government officers and </w:t>
      </w:r>
      <w:r w:rsidR="00BC4A6E" w:rsidRPr="00BC4A6E">
        <w:rPr>
          <w:rFonts w:ascii="Times New Roman" w:hAnsi="Times New Roman" w:cs="Times New Roman"/>
          <w:sz w:val="24"/>
          <w:szCs w:val="24"/>
        </w:rPr>
        <w:t>5 other members on the suggestion of Central Government.</w:t>
      </w:r>
    </w:p>
    <w:p w:rsidR="00BC4A6E" w:rsidRPr="006B1D62" w:rsidRDefault="00BC4A6E" w:rsidP="0060563F">
      <w:pPr>
        <w:spacing w:before="240" w:line="240" w:lineRule="auto"/>
        <w:jc w:val="both"/>
        <w:rPr>
          <w:rFonts w:ascii="Times New Roman" w:hAnsi="Times New Roman" w:cs="Times New Roman"/>
          <w:b/>
          <w:sz w:val="24"/>
          <w:szCs w:val="24"/>
        </w:rPr>
      </w:pPr>
      <w:r w:rsidRPr="007C1976">
        <w:rPr>
          <w:rFonts w:ascii="Times New Roman" w:hAnsi="Times New Roman" w:cs="Times New Roman"/>
          <w:b/>
          <w:sz w:val="24"/>
          <w:szCs w:val="24"/>
        </w:rPr>
        <w:lastRenderedPageBreak/>
        <w:t xml:space="preserve">2.4.1. </w:t>
      </w:r>
      <w:r w:rsidRPr="00887F66">
        <w:rPr>
          <w:rFonts w:ascii="Times New Roman" w:hAnsi="Times New Roman" w:cs="Times New Roman"/>
          <w:b/>
          <w:sz w:val="24"/>
          <w:szCs w:val="24"/>
        </w:rPr>
        <w:t>Functions of the Board</w:t>
      </w:r>
      <w:r w:rsidRPr="006B1D62">
        <w:rPr>
          <w:rFonts w:ascii="Times New Roman" w:hAnsi="Times New Roman" w:cs="Times New Roman"/>
          <w:b/>
          <w:sz w:val="24"/>
          <w:szCs w:val="24"/>
        </w:rPr>
        <w:t>-</w:t>
      </w:r>
    </w:p>
    <w:p w:rsidR="00BC4A6E" w:rsidRPr="006B1D62" w:rsidRDefault="00BC4A6E"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 xml:space="preserve">The </w:t>
      </w:r>
      <w:r>
        <w:rPr>
          <w:rFonts w:ascii="Times New Roman" w:hAnsi="Times New Roman" w:cs="Times New Roman"/>
          <w:sz w:val="24"/>
          <w:szCs w:val="24"/>
        </w:rPr>
        <w:t>Board's</w:t>
      </w:r>
      <w:r w:rsidRPr="006B1D62">
        <w:rPr>
          <w:rFonts w:ascii="Times New Roman" w:hAnsi="Times New Roman" w:cs="Times New Roman"/>
          <w:sz w:val="24"/>
          <w:szCs w:val="24"/>
        </w:rPr>
        <w:t xml:space="preserve"> functions are explicitly mentioned in section 196(1) of the </w:t>
      </w:r>
      <w:r>
        <w:rPr>
          <w:rFonts w:ascii="Times New Roman" w:hAnsi="Times New Roman" w:cs="Times New Roman"/>
          <w:sz w:val="24"/>
          <w:szCs w:val="24"/>
        </w:rPr>
        <w:t>Code</w:t>
      </w:r>
      <w:r w:rsidRPr="006B1D62">
        <w:rPr>
          <w:rFonts w:ascii="Times New Roman" w:hAnsi="Times New Roman" w:cs="Times New Roman"/>
          <w:sz w:val="24"/>
          <w:szCs w:val="24"/>
        </w:rPr>
        <w:t xml:space="preserve">. They are carried out in conformity with the essential directives of the Central Government. The functions of Board under section 196 </w:t>
      </w:r>
      <w:r>
        <w:rPr>
          <w:rFonts w:ascii="Times New Roman" w:hAnsi="Times New Roman" w:cs="Times New Roman"/>
          <w:sz w:val="24"/>
          <w:szCs w:val="24"/>
        </w:rPr>
        <w:t xml:space="preserve">of the Code </w:t>
      </w:r>
      <w:r w:rsidR="005A35F4">
        <w:rPr>
          <w:rFonts w:ascii="Times New Roman" w:hAnsi="Times New Roman" w:cs="Times New Roman"/>
          <w:sz w:val="24"/>
          <w:szCs w:val="24"/>
        </w:rPr>
        <w:t xml:space="preserve">are </w:t>
      </w:r>
      <w:r w:rsidRPr="006B1D62">
        <w:rPr>
          <w:rFonts w:ascii="Times New Roman" w:hAnsi="Times New Roman" w:cs="Times New Roman"/>
          <w:sz w:val="24"/>
          <w:szCs w:val="24"/>
        </w:rPr>
        <w:t>as follows-</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register, renew or cancel the registration of Insolvency Professional and Information Utilities.</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charge fees and specify requirements for registration.</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specify syllabus for conducting the exam for insolvency professionals.</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inspect and investigate and monitor performance of agencies and professionals.</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specify manner of storing information and disseminating the same.</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To develop professionals through education and training.</w:t>
      </w:r>
    </w:p>
    <w:p w:rsidR="00BC4A6E" w:rsidRPr="006B1D62" w:rsidRDefault="00BC4A6E" w:rsidP="0060563F">
      <w:pPr>
        <w:pStyle w:val="ListParagraph"/>
        <w:numPr>
          <w:ilvl w:val="0"/>
          <w:numId w:val="2"/>
        </w:numPr>
        <w:spacing w:before="240" w:line="240" w:lineRule="auto"/>
        <w:rPr>
          <w:rFonts w:cs="Times New Roman"/>
          <w:szCs w:val="24"/>
        </w:rPr>
      </w:pPr>
      <w:r w:rsidRPr="006B1D62">
        <w:rPr>
          <w:rFonts w:cs="Times New Roman"/>
          <w:szCs w:val="24"/>
        </w:rPr>
        <w:t xml:space="preserve">To regulate CIRP </w:t>
      </w:r>
      <w:r w:rsidR="005A35F4">
        <w:rPr>
          <w:rFonts w:cs="Times New Roman"/>
          <w:szCs w:val="24"/>
        </w:rPr>
        <w:t xml:space="preserve">process </w:t>
      </w:r>
      <w:r w:rsidRPr="006B1D62">
        <w:rPr>
          <w:rFonts w:cs="Times New Roman"/>
          <w:szCs w:val="24"/>
        </w:rPr>
        <w:t>and practices involved in liquidation and insolvency.</w:t>
      </w:r>
    </w:p>
    <w:p w:rsidR="00BC4A6E" w:rsidRDefault="00BC4A6E" w:rsidP="0060563F">
      <w:pPr>
        <w:pStyle w:val="ListParagraph"/>
        <w:numPr>
          <w:ilvl w:val="0"/>
          <w:numId w:val="2"/>
        </w:numPr>
        <w:spacing w:before="240" w:line="240" w:lineRule="auto"/>
        <w:rPr>
          <w:rFonts w:cs="Times New Roman"/>
          <w:szCs w:val="24"/>
        </w:rPr>
      </w:pPr>
      <w:r w:rsidRPr="006B1D62">
        <w:rPr>
          <w:rFonts w:cs="Times New Roman"/>
          <w:szCs w:val="24"/>
        </w:rPr>
        <w:t>Exercise power similar to that of civil court in trying a suit.</w:t>
      </w:r>
      <w:r w:rsidRPr="006B1D62">
        <w:rPr>
          <w:rStyle w:val="FootnoteReference"/>
          <w:rFonts w:cs="Times New Roman"/>
          <w:szCs w:val="24"/>
        </w:rPr>
        <w:footnoteReference w:id="12"/>
      </w:r>
    </w:p>
    <w:p w:rsidR="00EB0911" w:rsidRPr="00A06E27" w:rsidRDefault="00EB0911"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A06E27">
        <w:rPr>
          <w:rFonts w:ascii="Times New Roman" w:hAnsi="Times New Roman" w:cs="Times New Roman"/>
          <w:b/>
          <w:sz w:val="24"/>
          <w:szCs w:val="24"/>
        </w:rPr>
        <w:t>Corporate Insolvency Resolution Process</w:t>
      </w:r>
      <w:r w:rsidR="00D001A9">
        <w:rPr>
          <w:rFonts w:ascii="Times New Roman" w:hAnsi="Times New Roman" w:cs="Times New Roman"/>
          <w:b/>
          <w:sz w:val="24"/>
          <w:szCs w:val="24"/>
        </w:rPr>
        <w:t>(CIRP)</w:t>
      </w:r>
      <w:r w:rsidRPr="00A06E27">
        <w:rPr>
          <w:rFonts w:ascii="Times New Roman" w:hAnsi="Times New Roman" w:cs="Times New Roman"/>
          <w:b/>
          <w:sz w:val="24"/>
          <w:szCs w:val="24"/>
        </w:rPr>
        <w:t>-</w:t>
      </w:r>
    </w:p>
    <w:p w:rsidR="004F55B2" w:rsidRDefault="00D52A0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To initiate the process an application </w:t>
      </w:r>
      <w:r w:rsidR="00BB36D3">
        <w:rPr>
          <w:rFonts w:ascii="Times New Roman" w:hAnsi="Times New Roman" w:cs="Times New Roman"/>
          <w:sz w:val="24"/>
          <w:szCs w:val="24"/>
        </w:rPr>
        <w:t xml:space="preserve">is made to the </w:t>
      </w:r>
      <w:r w:rsidR="00C20E9B" w:rsidRPr="00C20E9B">
        <w:rPr>
          <w:rFonts w:ascii="Times New Roman" w:hAnsi="Times New Roman" w:cs="Times New Roman"/>
          <w:sz w:val="24"/>
          <w:szCs w:val="24"/>
        </w:rPr>
        <w:t>adjudicating authority</w:t>
      </w:r>
      <w:r w:rsidR="004F55B2">
        <w:rPr>
          <w:rFonts w:ascii="Times New Roman" w:hAnsi="Times New Roman" w:cs="Times New Roman"/>
          <w:sz w:val="24"/>
          <w:szCs w:val="24"/>
        </w:rPr>
        <w:t xml:space="preserve"> by creditor </w:t>
      </w:r>
      <w:r w:rsidR="00C20E9B" w:rsidRPr="00C20E9B">
        <w:rPr>
          <w:rFonts w:ascii="Times New Roman" w:hAnsi="Times New Roman" w:cs="Times New Roman"/>
          <w:sz w:val="24"/>
          <w:szCs w:val="24"/>
        </w:rPr>
        <w:t>or corporate debtor himself</w:t>
      </w:r>
      <w:r w:rsidR="004F55B2">
        <w:rPr>
          <w:rFonts w:ascii="Times New Roman" w:hAnsi="Times New Roman" w:cs="Times New Roman"/>
          <w:sz w:val="24"/>
          <w:szCs w:val="24"/>
        </w:rPr>
        <w:t xml:space="preserve">. An attempt shall be made by </w:t>
      </w:r>
      <w:r w:rsidR="005B1173">
        <w:rPr>
          <w:rFonts w:ascii="Times New Roman" w:hAnsi="Times New Roman" w:cs="Times New Roman"/>
          <w:sz w:val="24"/>
          <w:szCs w:val="24"/>
        </w:rPr>
        <w:t xml:space="preserve">authority to save the corporate, if not possible then liquidate the same. </w:t>
      </w:r>
      <w:r w:rsidR="005168F7" w:rsidRPr="005168F7">
        <w:rPr>
          <w:rFonts w:ascii="Times New Roman" w:hAnsi="Times New Roman" w:cs="Times New Roman"/>
          <w:sz w:val="24"/>
          <w:szCs w:val="24"/>
        </w:rPr>
        <w:t>This process is completely different from that which is specified for winding up of the companies under the Companies Act, 1956 as well as Companies Act, 2013. As both the Acts did not specify the resolution in initiating it.</w:t>
      </w:r>
    </w:p>
    <w:p w:rsidR="00EB0911" w:rsidRDefault="00EB0911"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initiation of process shall result into the following-</w:t>
      </w:r>
    </w:p>
    <w:p w:rsidR="009066FC" w:rsidRDefault="009066FC" w:rsidP="0060563F">
      <w:pPr>
        <w:pStyle w:val="ListParagraph"/>
        <w:numPr>
          <w:ilvl w:val="0"/>
          <w:numId w:val="4"/>
        </w:numPr>
        <w:spacing w:before="240" w:line="240" w:lineRule="auto"/>
        <w:rPr>
          <w:rFonts w:cs="Times New Roman"/>
          <w:szCs w:val="24"/>
        </w:rPr>
      </w:pPr>
      <w:r>
        <w:rPr>
          <w:rFonts w:cs="Times New Roman"/>
          <w:szCs w:val="24"/>
        </w:rPr>
        <w:t xml:space="preserve">Receiving resolution plan which </w:t>
      </w:r>
      <w:r w:rsidR="009A395D">
        <w:rPr>
          <w:rFonts w:cs="Times New Roman"/>
          <w:szCs w:val="24"/>
        </w:rPr>
        <w:t xml:space="preserve">shall resolve the debtor on </w:t>
      </w:r>
      <w:r w:rsidR="00EE7CF2">
        <w:rPr>
          <w:rFonts w:cs="Times New Roman"/>
          <w:szCs w:val="24"/>
        </w:rPr>
        <w:t>being approved and if not approved then debtor shall be resolved under section 33 of Code.</w:t>
      </w:r>
    </w:p>
    <w:p w:rsidR="00EB0911" w:rsidRPr="00EE7CF2" w:rsidRDefault="009A395D" w:rsidP="0060563F">
      <w:pPr>
        <w:pStyle w:val="ListParagraph"/>
        <w:numPr>
          <w:ilvl w:val="0"/>
          <w:numId w:val="4"/>
        </w:numPr>
        <w:spacing w:before="240" w:line="240" w:lineRule="auto"/>
        <w:rPr>
          <w:rFonts w:cs="Times New Roman"/>
          <w:szCs w:val="24"/>
        </w:rPr>
      </w:pPr>
      <w:r w:rsidRPr="00EE7CF2">
        <w:rPr>
          <w:rFonts w:cs="Times New Roman"/>
          <w:szCs w:val="24"/>
        </w:rPr>
        <w:t>If not received then resolve the debtor</w:t>
      </w:r>
      <w:r w:rsidR="00EE7CF2" w:rsidRPr="00EE7CF2">
        <w:rPr>
          <w:rFonts w:cs="Times New Roman"/>
          <w:szCs w:val="24"/>
        </w:rPr>
        <w:t xml:space="preserve"> by order of liquidation under section 33</w:t>
      </w:r>
      <w:r w:rsidR="00EE7CF2">
        <w:rPr>
          <w:rFonts w:cs="Times New Roman"/>
          <w:szCs w:val="24"/>
        </w:rPr>
        <w:t>.</w:t>
      </w:r>
      <w:r w:rsidRPr="00EE7CF2">
        <w:rPr>
          <w:rFonts w:cs="Times New Roman"/>
          <w:szCs w:val="24"/>
        </w:rPr>
        <w:t xml:space="preserve"> </w:t>
      </w:r>
    </w:p>
    <w:p w:rsidR="00EB0911" w:rsidRPr="00117C0A" w:rsidRDefault="00EB0911" w:rsidP="0060563F">
      <w:pPr>
        <w:tabs>
          <w:tab w:val="left" w:pos="9270"/>
        </w:tabs>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0C541F">
        <w:rPr>
          <w:rFonts w:ascii="Times New Roman" w:hAnsi="Times New Roman" w:cs="Times New Roman"/>
          <w:b/>
          <w:sz w:val="24"/>
          <w:szCs w:val="24"/>
        </w:rPr>
        <w:t xml:space="preserve">Initiation </w:t>
      </w:r>
      <w:r>
        <w:rPr>
          <w:rFonts w:ascii="Times New Roman" w:hAnsi="Times New Roman" w:cs="Times New Roman"/>
          <w:b/>
          <w:sz w:val="24"/>
          <w:szCs w:val="24"/>
        </w:rPr>
        <w:t>Process of Corporate I</w:t>
      </w:r>
      <w:r w:rsidRPr="000C541F">
        <w:rPr>
          <w:rFonts w:ascii="Times New Roman" w:hAnsi="Times New Roman" w:cs="Times New Roman"/>
          <w:b/>
          <w:sz w:val="24"/>
          <w:szCs w:val="24"/>
        </w:rPr>
        <w:t>nsolvency-</w:t>
      </w:r>
    </w:p>
    <w:p w:rsidR="00EB0911" w:rsidRDefault="00EB0911" w:rsidP="0060563F">
      <w:pPr>
        <w:pStyle w:val="ListParagraph"/>
        <w:spacing w:before="240" w:line="240" w:lineRule="auto"/>
        <w:ind w:left="0"/>
        <w:rPr>
          <w:rFonts w:cs="Times New Roman"/>
          <w:szCs w:val="24"/>
        </w:rPr>
      </w:pPr>
      <w:r>
        <w:rPr>
          <w:rFonts w:cs="Times New Roman"/>
          <w:szCs w:val="24"/>
        </w:rPr>
        <w:t>The process of corporate insolvency has been described in detail in CIRP Regulation</w:t>
      </w:r>
      <w:r>
        <w:rPr>
          <w:rStyle w:val="FootnoteReference"/>
          <w:rFonts w:cs="Times New Roman"/>
          <w:szCs w:val="24"/>
        </w:rPr>
        <w:footnoteReference w:id="13"/>
      </w:r>
      <w:r>
        <w:rPr>
          <w:rFonts w:cs="Times New Roman"/>
          <w:szCs w:val="24"/>
        </w:rPr>
        <w:t xml:space="preserve">. </w:t>
      </w:r>
      <w:r w:rsidR="00D26A21">
        <w:rPr>
          <w:rFonts w:cs="Times New Roman"/>
          <w:szCs w:val="24"/>
        </w:rPr>
        <w:t xml:space="preserve">It </w:t>
      </w:r>
      <w:r>
        <w:rPr>
          <w:rFonts w:cs="Times New Roman"/>
          <w:szCs w:val="24"/>
        </w:rPr>
        <w:t xml:space="preserve"> </w:t>
      </w:r>
      <w:r w:rsidR="00D26A21" w:rsidRPr="00D26A21">
        <w:rPr>
          <w:rFonts w:cs="Times New Roman"/>
          <w:szCs w:val="24"/>
        </w:rPr>
        <w:t xml:space="preserve">can be initiated by financial creditor, operational creditor or corporate debtor </w:t>
      </w:r>
      <w:r w:rsidR="00D26A21">
        <w:rPr>
          <w:rFonts w:cs="Times New Roman"/>
          <w:szCs w:val="24"/>
        </w:rPr>
        <w:t xml:space="preserve">on </w:t>
      </w:r>
      <w:r>
        <w:rPr>
          <w:rFonts w:cs="Times New Roman"/>
          <w:szCs w:val="24"/>
        </w:rPr>
        <w:t xml:space="preserve">default of </w:t>
      </w:r>
      <w:r w:rsidR="001724A7">
        <w:rPr>
          <w:rFonts w:cs="Times New Roman"/>
          <w:szCs w:val="24"/>
        </w:rPr>
        <w:t>corporate debtor.</w:t>
      </w:r>
      <w:r w:rsidRPr="00774B8D">
        <w:rPr>
          <w:rFonts w:cs="Times New Roman"/>
          <w:szCs w:val="24"/>
          <w:vertAlign w:val="superscript"/>
        </w:rPr>
        <w:footnoteReference w:id="14"/>
      </w:r>
      <w:r w:rsidR="001724A7">
        <w:rPr>
          <w:rFonts w:cs="Times New Roman"/>
          <w:szCs w:val="24"/>
        </w:rPr>
        <w:t xml:space="preserve"> Section 11 of Code specifies that </w:t>
      </w:r>
      <w:r w:rsidR="001724A7" w:rsidRPr="001724A7">
        <w:rPr>
          <w:rFonts w:cs="Times New Roman"/>
          <w:szCs w:val="24"/>
        </w:rPr>
        <w:t>a corporate debtor who is currently going</w:t>
      </w:r>
      <w:r w:rsidR="004852C3">
        <w:rPr>
          <w:rFonts w:cs="Times New Roman"/>
          <w:szCs w:val="24"/>
        </w:rPr>
        <w:t xml:space="preserve"> </w:t>
      </w:r>
      <w:r w:rsidR="004852C3" w:rsidRPr="004852C3">
        <w:rPr>
          <w:rFonts w:cs="Times New Roman"/>
          <w:szCs w:val="24"/>
        </w:rPr>
        <w:t>CIRP</w:t>
      </w:r>
      <w:r w:rsidR="004852C3">
        <w:rPr>
          <w:rFonts w:cs="Times New Roman"/>
          <w:szCs w:val="24"/>
        </w:rPr>
        <w:t xml:space="preserve"> </w:t>
      </w:r>
      <w:r w:rsidR="004852C3" w:rsidRPr="004852C3">
        <w:rPr>
          <w:rFonts w:cs="Times New Roman"/>
          <w:szCs w:val="24"/>
        </w:rPr>
        <w:t>or CIRP in its respect has been completed</w:t>
      </w:r>
      <w:r w:rsidR="004852C3">
        <w:rPr>
          <w:rFonts w:cs="Times New Roman"/>
          <w:szCs w:val="24"/>
        </w:rPr>
        <w:t xml:space="preserve"> or </w:t>
      </w:r>
      <w:r w:rsidR="004852C3" w:rsidRPr="004852C3">
        <w:rPr>
          <w:rFonts w:cs="Times New Roman"/>
          <w:szCs w:val="24"/>
        </w:rPr>
        <w:t>who has not complied with conditions of resolution</w:t>
      </w:r>
      <w:r w:rsidR="00462412">
        <w:rPr>
          <w:rFonts w:cs="Times New Roman"/>
          <w:szCs w:val="24"/>
        </w:rPr>
        <w:t xml:space="preserve"> or </w:t>
      </w:r>
      <w:r w:rsidR="004852C3" w:rsidRPr="004852C3">
        <w:rPr>
          <w:rFonts w:cs="Times New Roman"/>
          <w:szCs w:val="24"/>
        </w:rPr>
        <w:t xml:space="preserve"> </w:t>
      </w:r>
      <w:r w:rsidR="00462412" w:rsidRPr="00462412">
        <w:rPr>
          <w:rFonts w:cs="Times New Roman"/>
          <w:szCs w:val="24"/>
        </w:rPr>
        <w:t>for whom liquidation order has been passed cannot initiate the process.</w:t>
      </w:r>
      <w:r w:rsidR="004852C3" w:rsidRPr="004852C3">
        <w:rPr>
          <w:rFonts w:cs="Times New Roman"/>
          <w:szCs w:val="24"/>
        </w:rPr>
        <w:t xml:space="preserve"> </w:t>
      </w:r>
      <w:r w:rsidR="00462412">
        <w:rPr>
          <w:rFonts w:cs="Times New Roman"/>
          <w:szCs w:val="24"/>
        </w:rPr>
        <w:t xml:space="preserve">The </w:t>
      </w:r>
      <w:r w:rsidR="00462412" w:rsidRPr="00462412">
        <w:rPr>
          <w:rFonts w:cs="Times New Roman"/>
          <w:szCs w:val="24"/>
        </w:rPr>
        <w:t xml:space="preserve">Code does not have any provision for representing </w:t>
      </w:r>
      <w:r w:rsidR="006F3748" w:rsidRPr="006F3748">
        <w:rPr>
          <w:rFonts w:cs="Times New Roman"/>
          <w:szCs w:val="24"/>
        </w:rPr>
        <w:t xml:space="preserve">homebuyers </w:t>
      </w:r>
      <w:r w:rsidR="00462412" w:rsidRPr="00462412">
        <w:rPr>
          <w:rFonts w:cs="Times New Roman"/>
          <w:szCs w:val="24"/>
        </w:rPr>
        <w:t xml:space="preserve">in resolution proceedings.  </w:t>
      </w:r>
    </w:p>
    <w:p w:rsidR="00EB0911" w:rsidRPr="003A0CCF" w:rsidRDefault="00EB0911"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4.1. Application initiated</w:t>
      </w:r>
      <w:r w:rsidRPr="003A0CCF">
        <w:rPr>
          <w:rFonts w:ascii="Times New Roman" w:hAnsi="Times New Roman" w:cs="Times New Roman"/>
          <w:b/>
          <w:sz w:val="24"/>
          <w:szCs w:val="24"/>
        </w:rPr>
        <w:t xml:space="preserve"> by financial creditor</w:t>
      </w:r>
    </w:p>
    <w:p w:rsidR="00EB0911" w:rsidRDefault="00EB0911" w:rsidP="0060563F">
      <w:pPr>
        <w:spacing w:line="240" w:lineRule="auto"/>
        <w:jc w:val="both"/>
        <w:rPr>
          <w:rFonts w:ascii="Times New Roman" w:hAnsi="Times New Roman" w:cs="Times New Roman"/>
          <w:sz w:val="24"/>
          <w:szCs w:val="24"/>
        </w:rPr>
      </w:pPr>
      <w:r w:rsidRPr="003A0CCF">
        <w:rPr>
          <w:rFonts w:ascii="Times New Roman" w:hAnsi="Times New Roman" w:cs="Times New Roman"/>
          <w:sz w:val="24"/>
          <w:szCs w:val="24"/>
        </w:rPr>
        <w:t>The application for initiating the process against corporate debtor can be made by financial creditor along with other creditors when default has been made. The default here also include</w:t>
      </w:r>
      <w:r>
        <w:rPr>
          <w:rFonts w:ascii="Times New Roman" w:hAnsi="Times New Roman" w:cs="Times New Roman"/>
          <w:sz w:val="24"/>
          <w:szCs w:val="24"/>
        </w:rPr>
        <w:t xml:space="preserve">s </w:t>
      </w:r>
      <w:r>
        <w:rPr>
          <w:rFonts w:ascii="Times New Roman" w:hAnsi="Times New Roman" w:cs="Times New Roman"/>
          <w:sz w:val="24"/>
          <w:szCs w:val="24"/>
        </w:rPr>
        <w:lastRenderedPageBreak/>
        <w:t>the default made to non-</w:t>
      </w:r>
      <w:r w:rsidRPr="003A0CCF">
        <w:rPr>
          <w:rFonts w:ascii="Times New Roman" w:hAnsi="Times New Roman" w:cs="Times New Roman"/>
          <w:sz w:val="24"/>
          <w:szCs w:val="24"/>
        </w:rPr>
        <w:t>applicant financial creditor.</w:t>
      </w:r>
      <w:r w:rsidRPr="003A0CCF">
        <w:rPr>
          <w:rStyle w:val="FootnoteReference"/>
          <w:rFonts w:ascii="Times New Roman" w:hAnsi="Times New Roman" w:cs="Times New Roman"/>
          <w:sz w:val="24"/>
          <w:szCs w:val="24"/>
        </w:rPr>
        <w:footnoteReference w:id="15"/>
      </w:r>
      <w:r w:rsidRPr="003A0CCF">
        <w:rPr>
          <w:rFonts w:ascii="Times New Roman" w:hAnsi="Times New Roman" w:cs="Times New Roman"/>
          <w:sz w:val="24"/>
          <w:szCs w:val="24"/>
        </w:rPr>
        <w:t xml:space="preserve"> The application shall be </w:t>
      </w:r>
      <w:r>
        <w:rPr>
          <w:rFonts w:ascii="Times New Roman" w:hAnsi="Times New Roman" w:cs="Times New Roman"/>
          <w:sz w:val="24"/>
          <w:szCs w:val="24"/>
        </w:rPr>
        <w:t>consisting of</w:t>
      </w:r>
      <w:r w:rsidRPr="003A0CCF">
        <w:rPr>
          <w:rFonts w:ascii="Times New Roman" w:hAnsi="Times New Roman" w:cs="Times New Roman"/>
          <w:sz w:val="24"/>
          <w:szCs w:val="24"/>
        </w:rPr>
        <w:t xml:space="preserve"> the </w:t>
      </w:r>
      <w:r>
        <w:rPr>
          <w:rFonts w:ascii="Times New Roman" w:hAnsi="Times New Roman" w:cs="Times New Roman"/>
          <w:sz w:val="24"/>
          <w:szCs w:val="24"/>
        </w:rPr>
        <w:t xml:space="preserve">record about the default being made, </w:t>
      </w:r>
      <w:r w:rsidRPr="00C364E2">
        <w:rPr>
          <w:rFonts w:ascii="Times New Roman" w:hAnsi="Times New Roman" w:cs="Times New Roman"/>
          <w:sz w:val="24"/>
          <w:szCs w:val="24"/>
        </w:rPr>
        <w:t>name of proposed interim resolution professional</w:t>
      </w:r>
      <w:r w:rsidRPr="003A0CCF">
        <w:rPr>
          <w:rFonts w:ascii="Times New Roman" w:hAnsi="Times New Roman" w:cs="Times New Roman"/>
          <w:sz w:val="24"/>
          <w:szCs w:val="24"/>
        </w:rPr>
        <w:t xml:space="preserve"> </w:t>
      </w:r>
      <w:r>
        <w:rPr>
          <w:rFonts w:ascii="Times New Roman" w:hAnsi="Times New Roman" w:cs="Times New Roman"/>
          <w:sz w:val="24"/>
          <w:szCs w:val="24"/>
        </w:rPr>
        <w:t>and any other information which has been mentioned by the Board.</w:t>
      </w:r>
      <w:r w:rsidRPr="003A0CCF">
        <w:rPr>
          <w:rStyle w:val="FootnoteReference"/>
          <w:rFonts w:ascii="Times New Roman" w:hAnsi="Times New Roman" w:cs="Times New Roman"/>
          <w:sz w:val="24"/>
          <w:szCs w:val="24"/>
        </w:rPr>
        <w:footnoteReference w:id="16"/>
      </w:r>
    </w:p>
    <w:p w:rsidR="00EB0911" w:rsidRDefault="00EB0911" w:rsidP="00605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w:t>
      </w:r>
      <w:r w:rsidRPr="006833FA">
        <w:rPr>
          <w:rFonts w:ascii="Times New Roman" w:hAnsi="Times New Roman" w:cs="Times New Roman"/>
          <w:sz w:val="24"/>
          <w:szCs w:val="24"/>
        </w:rPr>
        <w:t>may be accepted or rejected by authority if there has been a default, application is complete</w:t>
      </w:r>
      <w:r w:rsidR="00DE32C7">
        <w:rPr>
          <w:rFonts w:ascii="Times New Roman" w:hAnsi="Times New Roman" w:cs="Times New Roman"/>
          <w:sz w:val="24"/>
          <w:szCs w:val="24"/>
        </w:rPr>
        <w:t xml:space="preserve">. </w:t>
      </w:r>
      <w:r w:rsidR="00973C85" w:rsidRPr="003A0CCF">
        <w:rPr>
          <w:rFonts w:ascii="Times New Roman" w:hAnsi="Times New Roman" w:cs="Times New Roman"/>
          <w:sz w:val="24"/>
          <w:szCs w:val="24"/>
        </w:rPr>
        <w:t>B</w:t>
      </w:r>
      <w:r w:rsidRPr="003A0CCF">
        <w:rPr>
          <w:rFonts w:ascii="Times New Roman" w:hAnsi="Times New Roman" w:cs="Times New Roman"/>
          <w:sz w:val="24"/>
          <w:szCs w:val="24"/>
        </w:rPr>
        <w:t>efore rejecting application on basis of defect</w:t>
      </w:r>
      <w:r w:rsidR="00973C85">
        <w:rPr>
          <w:rFonts w:ascii="Times New Roman" w:hAnsi="Times New Roman" w:cs="Times New Roman"/>
          <w:sz w:val="24"/>
          <w:szCs w:val="24"/>
        </w:rPr>
        <w:t>,</w:t>
      </w:r>
      <w:r w:rsidR="00DE32C7">
        <w:rPr>
          <w:rFonts w:ascii="Times New Roman" w:hAnsi="Times New Roman" w:cs="Times New Roman"/>
          <w:sz w:val="24"/>
          <w:szCs w:val="24"/>
        </w:rPr>
        <w:t xml:space="preserve"> </w:t>
      </w:r>
      <w:r w:rsidRPr="003A0CCF">
        <w:rPr>
          <w:rFonts w:ascii="Times New Roman" w:hAnsi="Times New Roman" w:cs="Times New Roman"/>
          <w:sz w:val="24"/>
          <w:szCs w:val="24"/>
        </w:rPr>
        <w:t>seven days</w:t>
      </w:r>
      <w:r w:rsidR="00DE32C7">
        <w:rPr>
          <w:rFonts w:ascii="Times New Roman" w:hAnsi="Times New Roman" w:cs="Times New Roman"/>
          <w:sz w:val="24"/>
          <w:szCs w:val="24"/>
        </w:rPr>
        <w:t xml:space="preserve"> notice</w:t>
      </w:r>
      <w:r w:rsidRPr="003A0CCF">
        <w:rPr>
          <w:rFonts w:ascii="Times New Roman" w:hAnsi="Times New Roman" w:cs="Times New Roman"/>
          <w:sz w:val="24"/>
          <w:szCs w:val="24"/>
        </w:rPr>
        <w:t xml:space="preserve"> shall be given to applicant to rectify it. </w:t>
      </w:r>
    </w:p>
    <w:p w:rsidR="009526BF" w:rsidRDefault="0075191F" w:rsidP="0060563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3A0CCF">
        <w:rPr>
          <w:rFonts w:ascii="Times New Roman" w:hAnsi="Times New Roman" w:cs="Times New Roman"/>
          <w:b/>
          <w:sz w:val="24"/>
          <w:szCs w:val="24"/>
        </w:rPr>
        <w:t>Application initiated by operational creditor</w:t>
      </w:r>
    </w:p>
    <w:p w:rsidR="0075191F" w:rsidRPr="009526BF" w:rsidRDefault="00DC213F" w:rsidP="0060563F">
      <w:pPr>
        <w:spacing w:line="240" w:lineRule="auto"/>
        <w:jc w:val="both"/>
        <w:rPr>
          <w:rFonts w:ascii="Times New Roman" w:hAnsi="Times New Roman" w:cs="Times New Roman"/>
          <w:b/>
          <w:sz w:val="24"/>
          <w:szCs w:val="24"/>
        </w:rPr>
      </w:pPr>
      <w:r w:rsidRPr="0075191F">
        <w:rPr>
          <w:rFonts w:ascii="Times New Roman" w:hAnsi="Times New Roman" w:cs="Times New Roman"/>
          <w:sz w:val="24"/>
          <w:szCs w:val="24"/>
        </w:rPr>
        <w:t>I</w:t>
      </w:r>
      <w:r w:rsidR="0075191F" w:rsidRPr="0075191F">
        <w:rPr>
          <w:rFonts w:ascii="Times New Roman" w:hAnsi="Times New Roman" w:cs="Times New Roman"/>
          <w:sz w:val="24"/>
          <w:szCs w:val="24"/>
        </w:rPr>
        <w:t>f the operational creditor does not receive any payment within 10 days</w:t>
      </w:r>
      <w:r w:rsidR="0075191F">
        <w:rPr>
          <w:rFonts w:ascii="Times New Roman" w:hAnsi="Times New Roman" w:cs="Times New Roman"/>
          <w:sz w:val="24"/>
          <w:szCs w:val="24"/>
        </w:rPr>
        <w:t xml:space="preserve"> of the debtor being informed</w:t>
      </w:r>
      <w:r>
        <w:rPr>
          <w:rFonts w:ascii="Times New Roman" w:hAnsi="Times New Roman" w:cs="Times New Roman"/>
          <w:sz w:val="24"/>
          <w:szCs w:val="24"/>
        </w:rPr>
        <w:t xml:space="preserve"> then </w:t>
      </w:r>
      <w:r w:rsidR="00342820">
        <w:rPr>
          <w:rFonts w:ascii="Times New Roman" w:hAnsi="Times New Roman" w:cs="Times New Roman"/>
          <w:sz w:val="24"/>
          <w:szCs w:val="24"/>
        </w:rPr>
        <w:t xml:space="preserve">the </w:t>
      </w:r>
      <w:r w:rsidR="00342820" w:rsidRPr="00342820">
        <w:rPr>
          <w:rFonts w:ascii="Times New Roman" w:hAnsi="Times New Roman" w:cs="Times New Roman"/>
          <w:sz w:val="24"/>
          <w:szCs w:val="24"/>
        </w:rPr>
        <w:t xml:space="preserve">process </w:t>
      </w:r>
      <w:r w:rsidR="00342820">
        <w:rPr>
          <w:rFonts w:ascii="Times New Roman" w:hAnsi="Times New Roman" w:cs="Times New Roman"/>
          <w:sz w:val="24"/>
          <w:szCs w:val="24"/>
        </w:rPr>
        <w:t xml:space="preserve">of </w:t>
      </w:r>
      <w:r w:rsidRPr="00DC213F">
        <w:rPr>
          <w:rFonts w:ascii="Times New Roman" w:hAnsi="Times New Roman" w:cs="Times New Roman"/>
          <w:sz w:val="24"/>
          <w:szCs w:val="24"/>
        </w:rPr>
        <w:t xml:space="preserve">insolvency resolution may </w:t>
      </w:r>
      <w:r w:rsidR="00342820" w:rsidRPr="00DC213F">
        <w:rPr>
          <w:rFonts w:ascii="Times New Roman" w:hAnsi="Times New Roman" w:cs="Times New Roman"/>
          <w:sz w:val="24"/>
          <w:szCs w:val="24"/>
        </w:rPr>
        <w:t>comm</w:t>
      </w:r>
      <w:r w:rsidR="00342820">
        <w:rPr>
          <w:rFonts w:ascii="Times New Roman" w:hAnsi="Times New Roman" w:cs="Times New Roman"/>
          <w:sz w:val="24"/>
          <w:szCs w:val="24"/>
        </w:rPr>
        <w:t>ence</w:t>
      </w:r>
      <w:r>
        <w:rPr>
          <w:rFonts w:ascii="Times New Roman" w:hAnsi="Times New Roman" w:cs="Times New Roman"/>
          <w:sz w:val="24"/>
          <w:szCs w:val="24"/>
        </w:rPr>
        <w:t xml:space="preserve"> by </w:t>
      </w:r>
      <w:r w:rsidR="00F06390">
        <w:rPr>
          <w:rFonts w:ascii="Times New Roman" w:hAnsi="Times New Roman" w:cs="Times New Roman"/>
          <w:sz w:val="24"/>
          <w:szCs w:val="24"/>
        </w:rPr>
        <w:t>filing</w:t>
      </w:r>
      <w:r>
        <w:rPr>
          <w:rFonts w:ascii="Times New Roman" w:hAnsi="Times New Roman" w:cs="Times New Roman"/>
          <w:sz w:val="24"/>
          <w:szCs w:val="24"/>
        </w:rPr>
        <w:t xml:space="preserve"> an application.</w:t>
      </w:r>
      <w:r>
        <w:rPr>
          <w:rStyle w:val="FootnoteReference"/>
          <w:rFonts w:ascii="Times New Roman" w:hAnsi="Times New Roman" w:cs="Times New Roman"/>
          <w:sz w:val="24"/>
          <w:szCs w:val="24"/>
        </w:rPr>
        <w:footnoteReference w:id="17"/>
      </w:r>
      <w:r w:rsidRPr="00DC213F">
        <w:rPr>
          <w:rFonts w:ascii="Times New Roman" w:hAnsi="Times New Roman" w:cs="Times New Roman"/>
          <w:sz w:val="24"/>
          <w:szCs w:val="24"/>
        </w:rPr>
        <w:t xml:space="preserve">  </w:t>
      </w:r>
      <w:r w:rsidR="009526BF" w:rsidRPr="009526BF">
        <w:rPr>
          <w:rFonts w:ascii="Times New Roman" w:hAnsi="Times New Roman" w:cs="Times New Roman"/>
          <w:sz w:val="24"/>
          <w:szCs w:val="24"/>
        </w:rPr>
        <w:t>The adjudicating authority may accept or the reject the application on the basis of it being complete or if the debt is not paid, or notice has not been delivered, or the creditor did not receive any notice of dispute.</w:t>
      </w:r>
    </w:p>
    <w:p w:rsidR="0075191F" w:rsidRPr="003A0CCF" w:rsidRDefault="0075191F" w:rsidP="0060563F">
      <w:pPr>
        <w:pStyle w:val="ListParagraph"/>
        <w:spacing w:before="240" w:line="240" w:lineRule="auto"/>
        <w:ind w:left="0"/>
        <w:rPr>
          <w:rFonts w:cs="Times New Roman"/>
          <w:b/>
          <w:szCs w:val="24"/>
        </w:rPr>
      </w:pPr>
      <w:r>
        <w:rPr>
          <w:rFonts w:cs="Times New Roman"/>
          <w:b/>
          <w:szCs w:val="24"/>
        </w:rPr>
        <w:t xml:space="preserve">4.3. </w:t>
      </w:r>
      <w:r w:rsidRPr="003A0CCF">
        <w:rPr>
          <w:rFonts w:cs="Times New Roman"/>
          <w:b/>
          <w:szCs w:val="24"/>
        </w:rPr>
        <w:t>Application i</w:t>
      </w:r>
      <w:r>
        <w:rPr>
          <w:rFonts w:cs="Times New Roman"/>
          <w:b/>
          <w:szCs w:val="24"/>
        </w:rPr>
        <w:t>nitiated by corporate applicant</w:t>
      </w:r>
      <w:r w:rsidRPr="003A0CCF">
        <w:rPr>
          <w:rFonts w:cs="Times New Roman"/>
          <w:b/>
          <w:szCs w:val="24"/>
        </w:rPr>
        <w:t>-</w:t>
      </w:r>
    </w:p>
    <w:p w:rsidR="0075191F" w:rsidRDefault="0075191F" w:rsidP="00605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an </w:t>
      </w:r>
      <w:r w:rsidRPr="003A0CCF">
        <w:rPr>
          <w:rFonts w:ascii="Times New Roman" w:hAnsi="Times New Roman" w:cs="Times New Roman"/>
          <w:sz w:val="24"/>
          <w:szCs w:val="24"/>
        </w:rPr>
        <w:t xml:space="preserve">application </w:t>
      </w:r>
      <w:r>
        <w:rPr>
          <w:rFonts w:ascii="Times New Roman" w:hAnsi="Times New Roman" w:cs="Times New Roman"/>
          <w:sz w:val="24"/>
          <w:szCs w:val="24"/>
        </w:rPr>
        <w:t>is</w:t>
      </w:r>
      <w:r w:rsidRPr="003A0CCF">
        <w:rPr>
          <w:rFonts w:ascii="Times New Roman" w:hAnsi="Times New Roman" w:cs="Times New Roman"/>
          <w:sz w:val="24"/>
          <w:szCs w:val="24"/>
        </w:rPr>
        <w:t xml:space="preserve"> initiated by the corporate applicant </w:t>
      </w:r>
      <w:r>
        <w:rPr>
          <w:rFonts w:ascii="Times New Roman" w:hAnsi="Times New Roman" w:cs="Times New Roman"/>
          <w:sz w:val="24"/>
          <w:szCs w:val="24"/>
        </w:rPr>
        <w:t xml:space="preserve">then it shall consist of books of </w:t>
      </w:r>
      <w:r w:rsidRPr="00140714">
        <w:rPr>
          <w:rFonts w:ascii="Times New Roman" w:hAnsi="Times New Roman" w:cs="Times New Roman"/>
          <w:sz w:val="24"/>
          <w:szCs w:val="24"/>
        </w:rPr>
        <w:t>account and name of proposed interim resolution professional</w:t>
      </w:r>
      <w:r>
        <w:rPr>
          <w:rFonts w:ascii="Times New Roman" w:hAnsi="Times New Roman" w:cs="Times New Roman"/>
          <w:sz w:val="24"/>
          <w:szCs w:val="24"/>
        </w:rPr>
        <w:t xml:space="preserve"> along with the application.</w:t>
      </w:r>
      <w:r w:rsidRPr="00140714">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Pr="003A0CCF">
        <w:rPr>
          <w:rFonts w:ascii="Times New Roman" w:hAnsi="Times New Roman" w:cs="Times New Roman"/>
          <w:sz w:val="24"/>
          <w:szCs w:val="24"/>
        </w:rPr>
        <w:t>The authority shall accept or reject the application and before rejecting the application a notice of seven days shall be given to the applicant.</w:t>
      </w:r>
    </w:p>
    <w:p w:rsidR="009376D4" w:rsidRPr="003A0CCF" w:rsidRDefault="009376D4" w:rsidP="0060563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4.4. </w:t>
      </w:r>
      <w:r w:rsidRPr="00555CC8">
        <w:rPr>
          <w:rFonts w:ascii="Times New Roman" w:hAnsi="Times New Roman" w:cs="Times New Roman"/>
          <w:b/>
          <w:sz w:val="24"/>
          <w:szCs w:val="24"/>
        </w:rPr>
        <w:t>Time bound procedure-</w:t>
      </w:r>
    </w:p>
    <w:p w:rsidR="009376D4" w:rsidRDefault="009376D4" w:rsidP="0060563F">
      <w:pPr>
        <w:spacing w:line="240" w:lineRule="auto"/>
        <w:jc w:val="both"/>
        <w:rPr>
          <w:rFonts w:ascii="Times New Roman" w:hAnsi="Times New Roman" w:cs="Times New Roman"/>
          <w:sz w:val="24"/>
          <w:szCs w:val="24"/>
        </w:rPr>
      </w:pPr>
      <w:r>
        <w:rPr>
          <w:rFonts w:ascii="Times New Roman" w:hAnsi="Times New Roman" w:cs="Times New Roman"/>
          <w:sz w:val="24"/>
          <w:szCs w:val="24"/>
        </w:rPr>
        <w:t>The insolvency process should complete within 180 days and it may be extended by committee of creditors after a resolution is passed by majority of them</w:t>
      </w:r>
      <w:r w:rsidR="0013357E">
        <w:rPr>
          <w:rFonts w:ascii="Times New Roman" w:hAnsi="Times New Roman" w:cs="Times New Roman"/>
          <w:sz w:val="24"/>
          <w:szCs w:val="24"/>
        </w:rPr>
        <w:t xml:space="preserve">, then </w:t>
      </w:r>
      <w:r>
        <w:rPr>
          <w:rFonts w:ascii="Times New Roman" w:hAnsi="Times New Roman" w:cs="Times New Roman"/>
          <w:sz w:val="24"/>
          <w:szCs w:val="24"/>
        </w:rPr>
        <w:t>application shall be made to authority about the same. If</w:t>
      </w:r>
      <w:r w:rsidR="0013357E">
        <w:rPr>
          <w:rFonts w:ascii="Times New Roman" w:hAnsi="Times New Roman" w:cs="Times New Roman"/>
          <w:sz w:val="24"/>
          <w:szCs w:val="24"/>
        </w:rPr>
        <w:t xml:space="preserve"> </w:t>
      </w:r>
      <w:r w:rsidRPr="003A0CCF">
        <w:rPr>
          <w:rFonts w:ascii="Times New Roman" w:hAnsi="Times New Roman" w:cs="Times New Roman"/>
          <w:sz w:val="24"/>
          <w:szCs w:val="24"/>
        </w:rPr>
        <w:t>NCLT is satisfied that it would require more than 180 days then it shall extend the time as it deems fit but shall not exceed 90 days.</w:t>
      </w:r>
      <w:r w:rsidRPr="003A0CCF">
        <w:rPr>
          <w:rStyle w:val="FootnoteReference"/>
          <w:rFonts w:ascii="Times New Roman" w:hAnsi="Times New Roman" w:cs="Times New Roman"/>
          <w:sz w:val="24"/>
          <w:szCs w:val="24"/>
        </w:rPr>
        <w:footnoteReference w:id="19"/>
      </w:r>
      <w:r w:rsidRPr="003A0CCF">
        <w:rPr>
          <w:rFonts w:ascii="Times New Roman" w:hAnsi="Times New Roman" w:cs="Times New Roman"/>
          <w:sz w:val="24"/>
          <w:szCs w:val="24"/>
        </w:rPr>
        <w:t xml:space="preserve"> </w:t>
      </w:r>
    </w:p>
    <w:p w:rsidR="008E50B5" w:rsidRPr="00FD1D56" w:rsidRDefault="008E50B5" w:rsidP="0060563F">
      <w:pPr>
        <w:pStyle w:val="ListParagraph"/>
        <w:spacing w:before="240" w:line="240" w:lineRule="auto"/>
        <w:ind w:left="0"/>
        <w:rPr>
          <w:rFonts w:cs="Times New Roman"/>
          <w:szCs w:val="24"/>
        </w:rPr>
      </w:pPr>
      <w:r w:rsidRPr="00DD7882">
        <w:rPr>
          <w:rFonts w:cs="Times New Roman"/>
          <w:b/>
          <w:szCs w:val="24"/>
        </w:rPr>
        <w:t xml:space="preserve">5. </w:t>
      </w:r>
      <w:r w:rsidR="003C4AF8">
        <w:rPr>
          <w:rFonts w:cs="Times New Roman"/>
          <w:b/>
          <w:szCs w:val="24"/>
        </w:rPr>
        <w:t>Schema</w:t>
      </w:r>
      <w:r w:rsidRPr="00DD7882">
        <w:rPr>
          <w:rFonts w:cs="Times New Roman"/>
          <w:b/>
          <w:szCs w:val="24"/>
        </w:rPr>
        <w:t xml:space="preserve"> of CIRP Process</w:t>
      </w:r>
      <w:r w:rsidRPr="00DD7882">
        <w:rPr>
          <w:rFonts w:cs="Times New Roman"/>
          <w:szCs w:val="24"/>
        </w:rPr>
        <w:t>-</w:t>
      </w:r>
      <w:r w:rsidRPr="00FD1D56">
        <w:rPr>
          <w:rFonts w:cs="Times New Roman"/>
          <w:szCs w:val="24"/>
        </w:rPr>
        <w:t xml:space="preserve"> </w:t>
      </w:r>
    </w:p>
    <w:p w:rsidR="008E50B5" w:rsidRDefault="008E50B5" w:rsidP="0060563F">
      <w:pPr>
        <w:pStyle w:val="ListParagraph"/>
        <w:spacing w:before="240" w:line="240" w:lineRule="auto"/>
        <w:ind w:left="0"/>
        <w:rPr>
          <w:rFonts w:cs="Times New Roman"/>
          <w:szCs w:val="24"/>
        </w:rPr>
      </w:pPr>
      <w:r>
        <w:rPr>
          <w:rFonts w:cs="Times New Roman"/>
          <w:szCs w:val="24"/>
        </w:rPr>
        <w:t xml:space="preserve">The stages of the process </w:t>
      </w:r>
      <w:r w:rsidR="00EF5D19" w:rsidRPr="00EF5D19">
        <w:rPr>
          <w:rFonts w:cs="Times New Roman"/>
          <w:szCs w:val="24"/>
        </w:rPr>
        <w:t xml:space="preserve">for initiating the CIRP </w:t>
      </w:r>
      <w:r w:rsidR="00EF5D19">
        <w:rPr>
          <w:rFonts w:cs="Times New Roman"/>
          <w:szCs w:val="24"/>
        </w:rPr>
        <w:t xml:space="preserve">in accordance with the Code </w:t>
      </w:r>
      <w:r>
        <w:rPr>
          <w:rFonts w:cs="Times New Roman"/>
          <w:szCs w:val="24"/>
        </w:rPr>
        <w:t xml:space="preserve">are briefly stated in the following </w:t>
      </w:r>
      <w:r w:rsidR="00DB1CAF">
        <w:rPr>
          <w:rFonts w:cs="Times New Roman"/>
          <w:szCs w:val="24"/>
        </w:rPr>
        <w:t>structural outline</w:t>
      </w:r>
      <w:r>
        <w:rPr>
          <w:rFonts w:cs="Times New Roman"/>
          <w:szCs w:val="24"/>
        </w:rPr>
        <w:t>-</w:t>
      </w:r>
    </w:p>
    <w:p w:rsidR="008E50B5" w:rsidRPr="006E2E8D" w:rsidRDefault="008E50B5" w:rsidP="0060563F">
      <w:pPr>
        <w:spacing w:line="240" w:lineRule="auto"/>
        <w:jc w:val="both"/>
        <w:rPr>
          <w:rFonts w:ascii="Times New Roman" w:hAnsi="Times New Roman" w:cs="Times New Roman"/>
          <w:sz w:val="24"/>
          <w:szCs w:val="24"/>
        </w:rPr>
      </w:pPr>
      <w:r w:rsidRPr="008E50B5">
        <w:rPr>
          <w:rFonts w:ascii="Times New Roman" w:hAnsi="Times New Roman" w:cs="Times New Roman"/>
          <w:noProof/>
          <w:sz w:val="24"/>
          <w:szCs w:val="24"/>
        </w:rPr>
        <w:lastRenderedPageBreak/>
        <w:drawing>
          <wp:inline distT="0" distB="0" distL="0" distR="0">
            <wp:extent cx="5696585" cy="8229600"/>
            <wp:effectExtent l="19050" t="0" r="0" b="0"/>
            <wp:docPr id="1" name="Picture 0" descr="Flow diagram_Apurva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diagram_Apurva_00001.jpg"/>
                    <pic:cNvPicPr/>
                  </pic:nvPicPr>
                  <pic:blipFill>
                    <a:blip r:embed="rId7"/>
                    <a:stretch>
                      <a:fillRect/>
                    </a:stretch>
                  </pic:blipFill>
                  <pic:spPr>
                    <a:xfrm>
                      <a:off x="0" y="0"/>
                      <a:ext cx="5696585" cy="8229600"/>
                    </a:xfrm>
                    <a:prstGeom prst="rect">
                      <a:avLst/>
                    </a:prstGeom>
                  </pic:spPr>
                </pic:pic>
              </a:graphicData>
            </a:graphic>
          </wp:inline>
        </w:drawing>
      </w:r>
    </w:p>
    <w:p w:rsidR="008E50B5" w:rsidRPr="006B1D62" w:rsidRDefault="008E50B5" w:rsidP="0060563F">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6. </w:t>
      </w:r>
      <w:r w:rsidRPr="006B1D62">
        <w:rPr>
          <w:rFonts w:ascii="Times New Roman" w:hAnsi="Times New Roman" w:cs="Times New Roman"/>
          <w:b/>
          <w:sz w:val="24"/>
          <w:szCs w:val="24"/>
        </w:rPr>
        <w:t>Fraudulent or Malicious Initiation of</w:t>
      </w:r>
      <w:r w:rsidRPr="006B1D62">
        <w:rPr>
          <w:rFonts w:ascii="Times New Roman" w:hAnsi="Times New Roman" w:cs="Times New Roman"/>
          <w:sz w:val="24"/>
          <w:szCs w:val="24"/>
        </w:rPr>
        <w:t xml:space="preserve"> </w:t>
      </w:r>
      <w:r w:rsidRPr="006B1D62">
        <w:rPr>
          <w:rFonts w:ascii="Times New Roman" w:hAnsi="Times New Roman" w:cs="Times New Roman"/>
          <w:b/>
          <w:sz w:val="24"/>
          <w:szCs w:val="24"/>
        </w:rPr>
        <w:t>Proceedings</w:t>
      </w:r>
      <w:r w:rsidRPr="006B1D62">
        <w:rPr>
          <w:rFonts w:ascii="Times New Roman" w:hAnsi="Times New Roman" w:cs="Times New Roman"/>
          <w:sz w:val="24"/>
          <w:szCs w:val="24"/>
        </w:rPr>
        <w:t xml:space="preserve"> </w:t>
      </w:r>
    </w:p>
    <w:p w:rsidR="008E50B5" w:rsidRDefault="008E50B5"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An insolvency process is said to be initiated with malicious intent when-</w:t>
      </w:r>
    </w:p>
    <w:p w:rsidR="008E50B5" w:rsidRPr="00375599" w:rsidRDefault="005F7E32" w:rsidP="0060563F">
      <w:pPr>
        <w:pStyle w:val="ListParagraph"/>
        <w:numPr>
          <w:ilvl w:val="0"/>
          <w:numId w:val="5"/>
        </w:numPr>
        <w:spacing w:before="240" w:line="240" w:lineRule="auto"/>
        <w:rPr>
          <w:rFonts w:cs="Times New Roman"/>
          <w:szCs w:val="24"/>
        </w:rPr>
      </w:pPr>
      <w:r w:rsidRPr="00375599">
        <w:rPr>
          <w:rFonts w:cs="Times New Roman"/>
          <w:szCs w:val="24"/>
        </w:rPr>
        <w:t>I</w:t>
      </w:r>
      <w:r w:rsidR="008E50B5" w:rsidRPr="00375599">
        <w:rPr>
          <w:rFonts w:cs="Times New Roman"/>
          <w:szCs w:val="24"/>
        </w:rPr>
        <w:t>nitiated with a purpose other than liquidation or</w:t>
      </w:r>
    </w:p>
    <w:p w:rsidR="008E50B5" w:rsidRDefault="005F7E32" w:rsidP="0060563F">
      <w:pPr>
        <w:pStyle w:val="ListParagraph"/>
        <w:numPr>
          <w:ilvl w:val="0"/>
          <w:numId w:val="5"/>
        </w:numPr>
        <w:spacing w:before="240" w:line="240" w:lineRule="auto"/>
        <w:rPr>
          <w:rFonts w:cs="Times New Roman"/>
          <w:szCs w:val="24"/>
        </w:rPr>
      </w:pPr>
      <w:r>
        <w:rPr>
          <w:rFonts w:cs="Times New Roman"/>
          <w:szCs w:val="24"/>
        </w:rPr>
        <w:t>I</w:t>
      </w:r>
      <w:r w:rsidR="008E50B5">
        <w:rPr>
          <w:rFonts w:cs="Times New Roman"/>
          <w:szCs w:val="24"/>
        </w:rPr>
        <w:t xml:space="preserve">nitiated with </w:t>
      </w:r>
      <w:r w:rsidR="008E50B5" w:rsidRPr="00375599">
        <w:rPr>
          <w:rFonts w:cs="Times New Roman"/>
          <w:szCs w:val="24"/>
        </w:rPr>
        <w:t>purpose other than insolvency resolution process</w:t>
      </w:r>
    </w:p>
    <w:p w:rsidR="008E50B5" w:rsidRDefault="008E50B5"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Then fine of rupees one lakh to one crore may be imposed by adjudicating authority.</w:t>
      </w:r>
      <w:r w:rsidR="005F5F43">
        <w:rPr>
          <w:rFonts w:ascii="Times New Roman" w:hAnsi="Times New Roman" w:cs="Times New Roman"/>
          <w:sz w:val="24"/>
          <w:szCs w:val="24"/>
        </w:rPr>
        <w:t xml:space="preserve"> </w:t>
      </w:r>
      <w:r>
        <w:rPr>
          <w:rFonts w:ascii="Times New Roman" w:hAnsi="Times New Roman" w:cs="Times New Roman"/>
          <w:sz w:val="24"/>
          <w:szCs w:val="24"/>
        </w:rPr>
        <w:t>If the intention behind commencement of such process is to defraud someone then also fine of rupees one lakh to one crore may be imposed.</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8E50B5" w:rsidRDefault="008E50B5" w:rsidP="0060563F">
      <w:pPr>
        <w:spacing w:before="240" w:line="240" w:lineRule="auto"/>
        <w:jc w:val="both"/>
        <w:rPr>
          <w:rFonts w:ascii="Times New Roman" w:hAnsi="Times New Roman" w:cs="Times New Roman"/>
          <w:sz w:val="24"/>
          <w:szCs w:val="24"/>
        </w:rPr>
      </w:pPr>
      <w:r w:rsidRPr="00EA78A6">
        <w:rPr>
          <w:rFonts w:ascii="Times New Roman" w:hAnsi="Times New Roman" w:cs="Times New Roman"/>
          <w:sz w:val="24"/>
          <w:szCs w:val="24"/>
        </w:rPr>
        <w:t xml:space="preserve">During the period of lockdown, regulation 40C was inserted in CIRP Regulations </w:t>
      </w:r>
      <w:r w:rsidR="006D1713">
        <w:rPr>
          <w:rFonts w:ascii="Times New Roman" w:hAnsi="Times New Roman" w:cs="Times New Roman"/>
          <w:sz w:val="24"/>
          <w:szCs w:val="24"/>
        </w:rPr>
        <w:t xml:space="preserve">excluding </w:t>
      </w:r>
      <w:r>
        <w:rPr>
          <w:rFonts w:ascii="Times New Roman" w:hAnsi="Times New Roman" w:cs="Times New Roman"/>
          <w:sz w:val="24"/>
          <w:szCs w:val="24"/>
        </w:rPr>
        <w:t xml:space="preserve">lockdown period while calculating </w:t>
      </w:r>
      <w:r w:rsidR="00391030">
        <w:rPr>
          <w:rFonts w:ascii="Times New Roman" w:hAnsi="Times New Roman" w:cs="Times New Roman"/>
          <w:sz w:val="24"/>
          <w:szCs w:val="24"/>
        </w:rPr>
        <w:t>timeline of CIRP</w:t>
      </w:r>
      <w:r w:rsidR="00A16064">
        <w:rPr>
          <w:rFonts w:ascii="Times New Roman" w:hAnsi="Times New Roman" w:cs="Times New Roman"/>
          <w:sz w:val="24"/>
          <w:szCs w:val="24"/>
        </w:rPr>
        <w:t>.</w:t>
      </w:r>
      <w:r w:rsidRPr="009D447A">
        <w:rPr>
          <w:rFonts w:ascii="Times New Roman" w:hAnsi="Times New Roman" w:cs="Times New Roman"/>
          <w:sz w:val="24"/>
          <w:szCs w:val="24"/>
        </w:rPr>
        <w:t xml:space="preserve"> Also, NCLAT passed an order that </w:t>
      </w:r>
      <w:r w:rsidR="00E469B3">
        <w:rPr>
          <w:rFonts w:ascii="Times New Roman" w:hAnsi="Times New Roman" w:cs="Times New Roman"/>
          <w:sz w:val="24"/>
          <w:szCs w:val="24"/>
        </w:rPr>
        <w:t>"</w:t>
      </w:r>
      <w:r w:rsidRPr="009D447A">
        <w:rPr>
          <w:rFonts w:ascii="Times New Roman" w:hAnsi="Times New Roman" w:cs="Times New Roman"/>
          <w:sz w:val="24"/>
          <w:szCs w:val="24"/>
        </w:rPr>
        <w:t>period of lockdown, imposed by the Central Government and the state governments, shall be excluded when counting the period of a</w:t>
      </w:r>
      <w:r>
        <w:rPr>
          <w:rFonts w:ascii="Times New Roman" w:hAnsi="Times New Roman" w:cs="Times New Roman"/>
          <w:sz w:val="24"/>
          <w:szCs w:val="24"/>
        </w:rPr>
        <w:t xml:space="preserve"> CIRP under section 12 of the </w:t>
      </w:r>
      <w:r w:rsidRPr="009D447A">
        <w:rPr>
          <w:rFonts w:ascii="Times New Roman" w:hAnsi="Times New Roman" w:cs="Times New Roman"/>
          <w:sz w:val="24"/>
          <w:szCs w:val="24"/>
        </w:rPr>
        <w:t>C</w:t>
      </w:r>
      <w:r>
        <w:rPr>
          <w:rFonts w:ascii="Times New Roman" w:hAnsi="Times New Roman" w:cs="Times New Roman"/>
          <w:sz w:val="24"/>
          <w:szCs w:val="24"/>
        </w:rPr>
        <w:t>ode</w:t>
      </w:r>
      <w:r w:rsidR="00E469B3">
        <w:rPr>
          <w:rFonts w:ascii="Times New Roman" w:hAnsi="Times New Roman" w:cs="Times New Roman"/>
          <w:sz w:val="24"/>
          <w:szCs w:val="24"/>
        </w:rPr>
        <w:t>"</w:t>
      </w:r>
      <w:r w:rsidRPr="009D447A">
        <w:rPr>
          <w:rFonts w:ascii="Times New Roman" w:hAnsi="Times New Roman" w:cs="Times New Roman"/>
          <w:sz w:val="24"/>
          <w:szCs w:val="24"/>
        </w:rPr>
        <w:t>.</w:t>
      </w:r>
      <w:r w:rsidRPr="009D447A">
        <w:rPr>
          <w:rStyle w:val="FootnoteReference"/>
          <w:rFonts w:ascii="Times New Roman" w:hAnsi="Times New Roman" w:cs="Times New Roman"/>
          <w:sz w:val="24"/>
          <w:szCs w:val="24"/>
        </w:rPr>
        <w:footnoteReference w:id="21"/>
      </w:r>
    </w:p>
    <w:p w:rsidR="008E50B5" w:rsidRPr="006B1D62" w:rsidRDefault="008E50B5"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6B1D62">
        <w:rPr>
          <w:rFonts w:ascii="Times New Roman" w:hAnsi="Times New Roman" w:cs="Times New Roman"/>
          <w:b/>
          <w:sz w:val="24"/>
          <w:szCs w:val="24"/>
        </w:rPr>
        <w:t>Moratorium and IRP-</w:t>
      </w:r>
    </w:p>
    <w:p w:rsidR="00F81155" w:rsidRDefault="00F81155" w:rsidP="0060563F">
      <w:pPr>
        <w:spacing w:before="240" w:line="240" w:lineRule="auto"/>
        <w:jc w:val="both"/>
        <w:rPr>
          <w:rFonts w:ascii="Times New Roman" w:hAnsi="Times New Roman" w:cs="Times New Roman"/>
          <w:sz w:val="24"/>
          <w:szCs w:val="24"/>
        </w:rPr>
      </w:pPr>
      <w:r w:rsidRPr="00F81155">
        <w:rPr>
          <w:rFonts w:ascii="Times New Roman" w:hAnsi="Times New Roman" w:cs="Times New Roman"/>
          <w:sz w:val="24"/>
          <w:szCs w:val="24"/>
        </w:rPr>
        <w:t>There is a significant change in the Code's "d</w:t>
      </w:r>
      <w:r w:rsidR="004A6CA1">
        <w:rPr>
          <w:rFonts w:ascii="Times New Roman" w:hAnsi="Times New Roman" w:cs="Times New Roman"/>
          <w:sz w:val="24"/>
          <w:szCs w:val="24"/>
        </w:rPr>
        <w:t>ebtor in control" approach for d</w:t>
      </w:r>
      <w:r w:rsidRPr="00F81155">
        <w:rPr>
          <w:rFonts w:ascii="Times New Roman" w:hAnsi="Times New Roman" w:cs="Times New Roman"/>
          <w:sz w:val="24"/>
          <w:szCs w:val="24"/>
        </w:rPr>
        <w:t>ebtors who are</w:t>
      </w:r>
      <w:r>
        <w:rPr>
          <w:rFonts w:ascii="Times New Roman" w:hAnsi="Times New Roman" w:cs="Times New Roman"/>
          <w:sz w:val="24"/>
          <w:szCs w:val="24"/>
        </w:rPr>
        <w:t xml:space="preserve"> </w:t>
      </w:r>
      <w:r w:rsidRPr="00F81155">
        <w:rPr>
          <w:rFonts w:ascii="Times New Roman" w:hAnsi="Times New Roman" w:cs="Times New Roman"/>
          <w:sz w:val="24"/>
          <w:szCs w:val="24"/>
        </w:rPr>
        <w:t xml:space="preserve">undergoing CIRPs. An IRP is used to maintain this level of command (and </w:t>
      </w:r>
      <w:r w:rsidR="006746DF" w:rsidRPr="00F81155">
        <w:rPr>
          <w:rFonts w:ascii="Times New Roman" w:hAnsi="Times New Roman" w:cs="Times New Roman"/>
          <w:sz w:val="24"/>
          <w:szCs w:val="24"/>
        </w:rPr>
        <w:t>afterward</w:t>
      </w:r>
      <w:r w:rsidR="006746DF">
        <w:rPr>
          <w:rFonts w:ascii="Times New Roman" w:hAnsi="Times New Roman" w:cs="Times New Roman"/>
          <w:sz w:val="24"/>
          <w:szCs w:val="24"/>
        </w:rPr>
        <w:t>s</w:t>
      </w:r>
      <w:r w:rsidRPr="00F81155">
        <w:rPr>
          <w:rFonts w:ascii="Times New Roman" w:hAnsi="Times New Roman" w:cs="Times New Roman"/>
          <w:sz w:val="24"/>
          <w:szCs w:val="24"/>
        </w:rPr>
        <w:t xml:space="preserve"> an RP). </w:t>
      </w:r>
      <w:r w:rsidR="004A6CA1" w:rsidRPr="004A6CA1">
        <w:rPr>
          <w:rFonts w:ascii="Times New Roman" w:hAnsi="Times New Roman" w:cs="Times New Roman"/>
          <w:sz w:val="24"/>
          <w:szCs w:val="24"/>
        </w:rPr>
        <w:t xml:space="preserve">Powers of the board of directors are suspended </w:t>
      </w:r>
      <w:r w:rsidR="004E135B">
        <w:rPr>
          <w:rFonts w:ascii="Times New Roman" w:hAnsi="Times New Roman" w:cs="Times New Roman"/>
          <w:sz w:val="24"/>
          <w:szCs w:val="24"/>
        </w:rPr>
        <w:t>on initiation of</w:t>
      </w:r>
      <w:r w:rsidRPr="00F81155">
        <w:rPr>
          <w:rFonts w:ascii="Times New Roman" w:hAnsi="Times New Roman" w:cs="Times New Roman"/>
          <w:sz w:val="24"/>
          <w:szCs w:val="24"/>
        </w:rPr>
        <w:t xml:space="preserve"> insolvency commencement date (ICD), and are exercised by IRP. In a similar fashion, IRP assumes administration of the Corporate Debtor (and later RP). For the duration of the CIRP period, this continues.</w:t>
      </w:r>
    </w:p>
    <w:p w:rsidR="008E50B5" w:rsidRPr="006B1D62" w:rsidRDefault="008E50B5"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7.1. Moratorium</w:t>
      </w:r>
    </w:p>
    <w:p w:rsidR="004A6B9E" w:rsidRDefault="004A6B9E"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moratorium could be defined as momentary inactivity. This is calm period which was introduced in the Act with aim that centre point should remain on the process of resolution and should not be delayed by any other stress.  However, the </w:t>
      </w:r>
      <w:r w:rsidRPr="006B1D62">
        <w:rPr>
          <w:rFonts w:ascii="Times New Roman" w:hAnsi="Times New Roman" w:cs="Times New Roman"/>
          <w:sz w:val="24"/>
          <w:szCs w:val="24"/>
        </w:rPr>
        <w:t>Bankruptcy Law Reforms Committee</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suggested moratorium over recovery actions over debtor and if debtor becomes unviable then process liquidation may began.</w:t>
      </w:r>
    </w:p>
    <w:p w:rsidR="004A6B9E" w:rsidRDefault="00F14EAC"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w:t>
      </w:r>
      <w:r w:rsidR="004A6B9E">
        <w:rPr>
          <w:rFonts w:ascii="Times New Roman" w:hAnsi="Times New Roman" w:cs="Times New Roman"/>
          <w:sz w:val="24"/>
          <w:szCs w:val="24"/>
        </w:rPr>
        <w:t>ccording to section 14 of the Code, moratorium shall be imposed which will be barring following-</w:t>
      </w:r>
    </w:p>
    <w:p w:rsidR="004A6B9E" w:rsidRPr="00814EEA" w:rsidRDefault="004A6B9E" w:rsidP="0060563F">
      <w:pPr>
        <w:pStyle w:val="ListParagraph"/>
        <w:numPr>
          <w:ilvl w:val="0"/>
          <w:numId w:val="6"/>
        </w:numPr>
        <w:spacing w:before="240" w:line="240" w:lineRule="auto"/>
        <w:rPr>
          <w:rFonts w:cs="Times New Roman"/>
          <w:szCs w:val="24"/>
        </w:rPr>
      </w:pPr>
      <w:r w:rsidRPr="00814EEA">
        <w:rPr>
          <w:rFonts w:cs="Times New Roman"/>
          <w:szCs w:val="24"/>
        </w:rPr>
        <w:t>Initiating of suit against debtor</w:t>
      </w:r>
    </w:p>
    <w:p w:rsidR="004A6B9E" w:rsidRPr="00814EEA" w:rsidRDefault="004A6B9E" w:rsidP="0060563F">
      <w:pPr>
        <w:pStyle w:val="ListParagraph"/>
        <w:numPr>
          <w:ilvl w:val="0"/>
          <w:numId w:val="6"/>
        </w:numPr>
        <w:spacing w:before="240" w:line="240" w:lineRule="auto"/>
        <w:rPr>
          <w:rFonts w:cs="Times New Roman"/>
          <w:szCs w:val="24"/>
        </w:rPr>
      </w:pPr>
      <w:r w:rsidRPr="00814EEA">
        <w:rPr>
          <w:rFonts w:cs="Times New Roman"/>
          <w:szCs w:val="24"/>
        </w:rPr>
        <w:t>Transfer of the assets of the debtor</w:t>
      </w:r>
    </w:p>
    <w:p w:rsidR="004A6B9E" w:rsidRPr="00814EEA" w:rsidRDefault="004A6B9E" w:rsidP="0060563F">
      <w:pPr>
        <w:pStyle w:val="ListParagraph"/>
        <w:numPr>
          <w:ilvl w:val="0"/>
          <w:numId w:val="6"/>
        </w:numPr>
        <w:spacing w:before="240" w:line="240" w:lineRule="auto"/>
        <w:rPr>
          <w:rFonts w:cs="Times New Roman"/>
          <w:szCs w:val="24"/>
        </w:rPr>
      </w:pPr>
      <w:r w:rsidRPr="00814EEA">
        <w:rPr>
          <w:rFonts w:cs="Times New Roman"/>
          <w:szCs w:val="24"/>
        </w:rPr>
        <w:t>Recovery of an interest created by debtor with respect to property</w:t>
      </w:r>
    </w:p>
    <w:p w:rsidR="004A6B9E" w:rsidRPr="00814EEA" w:rsidRDefault="004A6B9E" w:rsidP="0060563F">
      <w:pPr>
        <w:pStyle w:val="ListParagraph"/>
        <w:numPr>
          <w:ilvl w:val="0"/>
          <w:numId w:val="6"/>
        </w:numPr>
        <w:spacing w:before="240" w:line="240" w:lineRule="auto"/>
        <w:rPr>
          <w:rFonts w:cs="Times New Roman"/>
          <w:szCs w:val="24"/>
        </w:rPr>
      </w:pPr>
      <w:r w:rsidRPr="00814EEA">
        <w:rPr>
          <w:rFonts w:cs="Times New Roman"/>
          <w:szCs w:val="24"/>
        </w:rPr>
        <w:t>Recovery of property by owner of the same.</w:t>
      </w:r>
    </w:p>
    <w:p w:rsidR="004A6B9E" w:rsidRDefault="004A6B9E"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However, the moratorium shall not affect the following-</w:t>
      </w:r>
    </w:p>
    <w:p w:rsidR="004A6B9E" w:rsidRPr="00873D22" w:rsidRDefault="004A6B9E" w:rsidP="0060563F">
      <w:pPr>
        <w:pStyle w:val="ListParagraph"/>
        <w:numPr>
          <w:ilvl w:val="0"/>
          <w:numId w:val="7"/>
        </w:numPr>
        <w:spacing w:before="240" w:line="240" w:lineRule="auto"/>
        <w:rPr>
          <w:rFonts w:cs="Times New Roman"/>
          <w:szCs w:val="24"/>
        </w:rPr>
      </w:pPr>
      <w:r w:rsidRPr="00873D22">
        <w:rPr>
          <w:rFonts w:cs="Times New Roman"/>
          <w:szCs w:val="24"/>
        </w:rPr>
        <w:lastRenderedPageBreak/>
        <w:t>Essential goods being supplied to the debtor.</w:t>
      </w:r>
      <w:r>
        <w:rPr>
          <w:rStyle w:val="FootnoteReference"/>
          <w:rFonts w:cs="Times New Roman"/>
          <w:szCs w:val="24"/>
        </w:rPr>
        <w:footnoteReference w:id="23"/>
      </w:r>
    </w:p>
    <w:p w:rsidR="004A6B9E" w:rsidRPr="00873D22" w:rsidRDefault="004A6B9E" w:rsidP="0060563F">
      <w:pPr>
        <w:pStyle w:val="ListParagraph"/>
        <w:numPr>
          <w:ilvl w:val="0"/>
          <w:numId w:val="7"/>
        </w:numPr>
        <w:spacing w:before="240" w:line="240" w:lineRule="auto"/>
        <w:rPr>
          <w:rFonts w:cs="Times New Roman"/>
          <w:szCs w:val="24"/>
        </w:rPr>
      </w:pPr>
      <w:r w:rsidRPr="00873D22">
        <w:rPr>
          <w:rFonts w:cs="Times New Roman"/>
          <w:szCs w:val="24"/>
        </w:rPr>
        <w:t>Transaction which Central Government has specified.</w:t>
      </w:r>
      <w:r>
        <w:rPr>
          <w:rStyle w:val="FootnoteReference"/>
          <w:rFonts w:cs="Times New Roman"/>
          <w:szCs w:val="24"/>
        </w:rPr>
        <w:footnoteReference w:id="24"/>
      </w:r>
    </w:p>
    <w:p w:rsidR="00BC4A6E" w:rsidRDefault="00F14EAC"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It gives </w:t>
      </w:r>
      <w:r w:rsidRPr="00F14EAC">
        <w:rPr>
          <w:rFonts w:ascii="Times New Roman" w:hAnsi="Times New Roman" w:cs="Times New Roman"/>
          <w:sz w:val="24"/>
          <w:szCs w:val="24"/>
        </w:rPr>
        <w:t xml:space="preserve">time </w:t>
      </w:r>
      <w:r>
        <w:rPr>
          <w:rFonts w:ascii="Times New Roman" w:hAnsi="Times New Roman" w:cs="Times New Roman"/>
          <w:sz w:val="24"/>
          <w:szCs w:val="24"/>
        </w:rPr>
        <w:t xml:space="preserve">to </w:t>
      </w:r>
      <w:r w:rsidRPr="00F14EAC">
        <w:rPr>
          <w:rFonts w:ascii="Times New Roman" w:hAnsi="Times New Roman" w:cs="Times New Roman"/>
          <w:sz w:val="24"/>
          <w:szCs w:val="24"/>
        </w:rPr>
        <w:t xml:space="preserve">corporate debtor </w:t>
      </w:r>
      <w:r w:rsidR="001E5FA6" w:rsidRPr="001E5FA6">
        <w:rPr>
          <w:rFonts w:ascii="Times New Roman" w:hAnsi="Times New Roman" w:cs="Times New Roman"/>
          <w:sz w:val="24"/>
          <w:szCs w:val="24"/>
        </w:rPr>
        <w:t>to resolve and such opportunity is not hampered by initiation of any proceeding against it.</w:t>
      </w:r>
      <w:r w:rsidR="001E5FA6">
        <w:rPr>
          <w:rFonts w:ascii="Times New Roman" w:hAnsi="Times New Roman" w:cs="Times New Roman"/>
          <w:sz w:val="24"/>
          <w:szCs w:val="24"/>
        </w:rPr>
        <w:t xml:space="preserve"> I</w:t>
      </w:r>
      <w:r w:rsidR="004A6B9E">
        <w:rPr>
          <w:rFonts w:ascii="Times New Roman" w:hAnsi="Times New Roman" w:cs="Times New Roman"/>
          <w:sz w:val="24"/>
          <w:szCs w:val="24"/>
        </w:rPr>
        <w:t xml:space="preserve">n </w:t>
      </w:r>
      <w:r w:rsidR="004A6B9E" w:rsidRPr="006B1D62">
        <w:rPr>
          <w:rFonts w:ascii="Times New Roman" w:hAnsi="Times New Roman" w:cs="Times New Roman"/>
          <w:b/>
          <w:sz w:val="24"/>
          <w:szCs w:val="24"/>
        </w:rPr>
        <w:t>Power Grid Corporation of India Limited Vs. Jyoti Structures Limited</w:t>
      </w:r>
      <w:r w:rsidR="004A6B9E">
        <w:rPr>
          <w:rFonts w:ascii="Times New Roman" w:hAnsi="Times New Roman" w:cs="Times New Roman"/>
          <w:sz w:val="24"/>
          <w:szCs w:val="24"/>
        </w:rPr>
        <w:t>,</w:t>
      </w:r>
      <w:r w:rsidR="004A6B9E">
        <w:rPr>
          <w:rStyle w:val="FootnoteReference"/>
          <w:rFonts w:ascii="Times New Roman" w:hAnsi="Times New Roman" w:cs="Times New Roman"/>
          <w:sz w:val="24"/>
          <w:szCs w:val="24"/>
        </w:rPr>
        <w:footnoteReference w:id="25"/>
      </w:r>
      <w:r w:rsidR="004A6B9E">
        <w:rPr>
          <w:rFonts w:ascii="Times New Roman" w:hAnsi="Times New Roman" w:cs="Times New Roman"/>
          <w:sz w:val="24"/>
          <w:szCs w:val="24"/>
        </w:rPr>
        <w:t xml:space="preserve"> Delhi High Court held that the aim of Code is to provide a calm period where its assets are not reduced and such timeframe is used to improve its</w:t>
      </w:r>
      <w:r w:rsidR="00BE7FF0">
        <w:rPr>
          <w:rFonts w:ascii="Times New Roman" w:hAnsi="Times New Roman" w:cs="Times New Roman"/>
          <w:sz w:val="24"/>
          <w:szCs w:val="24"/>
        </w:rPr>
        <w:t xml:space="preserve"> </w:t>
      </w:r>
      <w:r w:rsidR="00A50DB0">
        <w:rPr>
          <w:rFonts w:ascii="Times New Roman" w:hAnsi="Times New Roman" w:cs="Times New Roman"/>
          <w:sz w:val="24"/>
          <w:szCs w:val="24"/>
        </w:rPr>
        <w:t>fiscal position</w:t>
      </w:r>
      <w:r w:rsidR="00BE7FF0" w:rsidRPr="00BE7FF0">
        <w:rPr>
          <w:rFonts w:ascii="Times New Roman" w:hAnsi="Times New Roman" w:cs="Times New Roman"/>
          <w:sz w:val="24"/>
          <w:szCs w:val="24"/>
        </w:rPr>
        <w:t>.</w:t>
      </w:r>
    </w:p>
    <w:p w:rsidR="009C7CF2" w:rsidRDefault="009C7CF2" w:rsidP="0060563F">
      <w:pPr>
        <w:spacing w:before="240" w:line="240" w:lineRule="auto"/>
        <w:jc w:val="both"/>
        <w:rPr>
          <w:rFonts w:ascii="Times New Roman" w:hAnsi="Times New Roman" w:cs="Times New Roman"/>
          <w:sz w:val="24"/>
          <w:szCs w:val="24"/>
        </w:rPr>
      </w:pPr>
      <w:r w:rsidRPr="009C7CF2">
        <w:rPr>
          <w:rFonts w:ascii="Times New Roman" w:hAnsi="Times New Roman" w:cs="Times New Roman"/>
          <w:sz w:val="24"/>
          <w:szCs w:val="24"/>
        </w:rPr>
        <w:t>The restriction imposed under section 14 of the Code is only with respect to the assets of the corporate debtor</w:t>
      </w:r>
      <w:r w:rsidR="0007599A">
        <w:rPr>
          <w:rFonts w:ascii="Times New Roman" w:hAnsi="Times New Roman" w:cs="Times New Roman"/>
          <w:sz w:val="24"/>
          <w:szCs w:val="24"/>
        </w:rPr>
        <w:t xml:space="preserve">. </w:t>
      </w:r>
      <w:r w:rsidR="0007599A" w:rsidRPr="0007599A">
        <w:rPr>
          <w:rFonts w:ascii="Times New Roman" w:hAnsi="Times New Roman" w:cs="Times New Roman"/>
          <w:sz w:val="24"/>
          <w:szCs w:val="24"/>
        </w:rPr>
        <w:t>During moratorium period the license, permit or registration cannot be cancelled by the authority and the dues during such period shall be paid to the authority.</w:t>
      </w:r>
      <w:r w:rsidR="00236C48">
        <w:rPr>
          <w:rFonts w:ascii="Times New Roman" w:hAnsi="Times New Roman" w:cs="Times New Roman"/>
          <w:sz w:val="24"/>
          <w:szCs w:val="24"/>
        </w:rPr>
        <w:t xml:space="preserve"> </w:t>
      </w:r>
      <w:r w:rsidR="00236C48" w:rsidRPr="00236C48">
        <w:rPr>
          <w:rFonts w:ascii="Times New Roman" w:hAnsi="Times New Roman" w:cs="Times New Roman"/>
          <w:sz w:val="24"/>
          <w:szCs w:val="24"/>
        </w:rPr>
        <w:t xml:space="preserve">The </w:t>
      </w:r>
      <w:r w:rsidR="00142A4D">
        <w:rPr>
          <w:rFonts w:ascii="Times New Roman" w:hAnsi="Times New Roman" w:cs="Times New Roman"/>
          <w:sz w:val="24"/>
          <w:szCs w:val="24"/>
        </w:rPr>
        <w:t>definition of</w:t>
      </w:r>
      <w:r w:rsidR="00236C48" w:rsidRPr="00236C48">
        <w:rPr>
          <w:rFonts w:ascii="Times New Roman" w:hAnsi="Times New Roman" w:cs="Times New Roman"/>
          <w:sz w:val="24"/>
          <w:szCs w:val="24"/>
        </w:rPr>
        <w:t xml:space="preserve"> essential goods </w:t>
      </w:r>
      <w:r w:rsidR="00142A4D">
        <w:rPr>
          <w:rFonts w:ascii="Times New Roman" w:hAnsi="Times New Roman" w:cs="Times New Roman"/>
          <w:sz w:val="24"/>
          <w:szCs w:val="24"/>
        </w:rPr>
        <w:t>according to</w:t>
      </w:r>
      <w:r w:rsidR="00236C48" w:rsidRPr="00236C48">
        <w:rPr>
          <w:rFonts w:ascii="Times New Roman" w:hAnsi="Times New Roman" w:cs="Times New Roman"/>
          <w:sz w:val="24"/>
          <w:szCs w:val="24"/>
        </w:rPr>
        <w:t xml:space="preserve"> regulation 32 of CIRP Regulations includes electricity, </w:t>
      </w:r>
      <w:r w:rsidR="00142A4D" w:rsidRPr="00142A4D">
        <w:rPr>
          <w:rFonts w:ascii="Times New Roman" w:hAnsi="Times New Roman" w:cs="Times New Roman"/>
          <w:sz w:val="24"/>
          <w:szCs w:val="24"/>
        </w:rPr>
        <w:t xml:space="preserve">IT services, </w:t>
      </w:r>
      <w:r w:rsidR="00236C48" w:rsidRPr="00236C48">
        <w:rPr>
          <w:rFonts w:ascii="Times New Roman" w:hAnsi="Times New Roman" w:cs="Times New Roman"/>
          <w:sz w:val="24"/>
          <w:szCs w:val="24"/>
        </w:rPr>
        <w:t>services related to telecommunications</w:t>
      </w:r>
      <w:r w:rsidR="005D1DD9">
        <w:rPr>
          <w:rFonts w:ascii="Times New Roman" w:hAnsi="Times New Roman" w:cs="Times New Roman"/>
          <w:sz w:val="24"/>
          <w:szCs w:val="24"/>
        </w:rPr>
        <w:t xml:space="preserve"> and </w:t>
      </w:r>
      <w:r w:rsidR="00142A4D">
        <w:rPr>
          <w:rFonts w:ascii="Times New Roman" w:hAnsi="Times New Roman" w:cs="Times New Roman"/>
          <w:sz w:val="24"/>
          <w:szCs w:val="24"/>
        </w:rPr>
        <w:t>water</w:t>
      </w:r>
      <w:r w:rsidR="00236C48">
        <w:rPr>
          <w:rFonts w:ascii="Times New Roman" w:hAnsi="Times New Roman" w:cs="Times New Roman"/>
          <w:sz w:val="24"/>
          <w:szCs w:val="24"/>
        </w:rPr>
        <w:t>.</w:t>
      </w:r>
      <w:r w:rsidR="00BC09FB" w:rsidRPr="00BC09FB">
        <w:t xml:space="preserve"> </w:t>
      </w:r>
      <w:r w:rsidR="00BC09FB" w:rsidRPr="00BC09FB">
        <w:rPr>
          <w:rFonts w:ascii="Times New Roman" w:hAnsi="Times New Roman" w:cs="Times New Roman"/>
          <w:sz w:val="24"/>
          <w:szCs w:val="24"/>
        </w:rPr>
        <w:t xml:space="preserve">Subsection 2A </w:t>
      </w:r>
      <w:r w:rsidR="00BC09FB">
        <w:rPr>
          <w:rFonts w:ascii="Times New Roman" w:hAnsi="Times New Roman" w:cs="Times New Roman"/>
          <w:sz w:val="24"/>
          <w:szCs w:val="24"/>
        </w:rPr>
        <w:t>says,</w:t>
      </w:r>
      <w:r w:rsidR="00BC09FB" w:rsidRPr="00BC09FB">
        <w:rPr>
          <w:rFonts w:ascii="Times New Roman" w:hAnsi="Times New Roman" w:cs="Times New Roman"/>
          <w:sz w:val="24"/>
          <w:szCs w:val="24"/>
        </w:rPr>
        <w:t xml:space="preserve"> when goods are so essential to manage debtor as going concern</w:t>
      </w:r>
      <w:r w:rsidR="00BC09FB">
        <w:rPr>
          <w:rFonts w:ascii="Times New Roman" w:hAnsi="Times New Roman" w:cs="Times New Roman"/>
          <w:sz w:val="24"/>
          <w:szCs w:val="24"/>
        </w:rPr>
        <w:t>,</w:t>
      </w:r>
      <w:r w:rsidR="00BC09FB" w:rsidRPr="00BC09FB">
        <w:rPr>
          <w:rFonts w:ascii="Times New Roman" w:hAnsi="Times New Roman" w:cs="Times New Roman"/>
          <w:sz w:val="24"/>
          <w:szCs w:val="24"/>
        </w:rPr>
        <w:t xml:space="preserve"> </w:t>
      </w:r>
      <w:r w:rsidR="00473430">
        <w:rPr>
          <w:rFonts w:ascii="Times New Roman" w:hAnsi="Times New Roman" w:cs="Times New Roman"/>
          <w:sz w:val="24"/>
          <w:szCs w:val="24"/>
        </w:rPr>
        <w:t xml:space="preserve">its </w:t>
      </w:r>
      <w:r w:rsidR="00BC09FB" w:rsidRPr="00BC09FB">
        <w:rPr>
          <w:rFonts w:ascii="Times New Roman" w:hAnsi="Times New Roman" w:cs="Times New Roman"/>
          <w:sz w:val="24"/>
          <w:szCs w:val="24"/>
        </w:rPr>
        <w:t>supply shall not be interrupted during moratorium period.</w:t>
      </w:r>
    </w:p>
    <w:p w:rsidR="0061469B" w:rsidRDefault="0061469B"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6B1D62">
        <w:rPr>
          <w:rFonts w:ascii="Times New Roman" w:hAnsi="Times New Roman" w:cs="Times New Roman"/>
          <w:b/>
          <w:sz w:val="24"/>
          <w:szCs w:val="24"/>
        </w:rPr>
        <w:t>Committee of Creditors</w:t>
      </w:r>
      <w:r>
        <w:rPr>
          <w:rFonts w:ascii="Times New Roman" w:hAnsi="Times New Roman" w:cs="Times New Roman"/>
          <w:b/>
          <w:sz w:val="24"/>
          <w:szCs w:val="24"/>
        </w:rPr>
        <w:t>-</w:t>
      </w:r>
    </w:p>
    <w:p w:rsidR="0061469B" w:rsidRPr="006B1D62" w:rsidRDefault="0061469B"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committee of creditors is a body formed by the resolution professional after receiving </w:t>
      </w:r>
      <w:r w:rsidR="007947BA">
        <w:rPr>
          <w:rFonts w:ascii="Times New Roman" w:hAnsi="Times New Roman" w:cs="Times New Roman"/>
          <w:sz w:val="24"/>
          <w:szCs w:val="24"/>
        </w:rPr>
        <w:t xml:space="preserve">claims from different creditors, consisting of </w:t>
      </w:r>
      <w:r w:rsidR="007947BA" w:rsidRPr="007947BA">
        <w:rPr>
          <w:rFonts w:ascii="Times New Roman" w:hAnsi="Times New Roman" w:cs="Times New Roman"/>
          <w:sz w:val="24"/>
          <w:szCs w:val="24"/>
        </w:rPr>
        <w:t>all creditors of debtor.</w:t>
      </w:r>
      <w:r>
        <w:rPr>
          <w:rFonts w:ascii="Times New Roman" w:hAnsi="Times New Roman" w:cs="Times New Roman"/>
          <w:sz w:val="24"/>
          <w:szCs w:val="24"/>
        </w:rPr>
        <w:t xml:space="preserve"> It has the responsibility</w:t>
      </w:r>
      <w:r w:rsidR="007947BA">
        <w:rPr>
          <w:rFonts w:ascii="Times New Roman" w:hAnsi="Times New Roman" w:cs="Times New Roman"/>
          <w:sz w:val="24"/>
          <w:szCs w:val="24"/>
        </w:rPr>
        <w:t xml:space="preserve"> </w:t>
      </w:r>
      <w:r>
        <w:rPr>
          <w:rFonts w:ascii="Times New Roman" w:hAnsi="Times New Roman" w:cs="Times New Roman"/>
          <w:sz w:val="24"/>
          <w:szCs w:val="24"/>
        </w:rPr>
        <w:t xml:space="preserve">to make sure that debtor becomes viable. </w:t>
      </w:r>
      <w:r w:rsidR="00BA74C1">
        <w:rPr>
          <w:rFonts w:ascii="Times New Roman" w:hAnsi="Times New Roman" w:cs="Times New Roman"/>
          <w:sz w:val="24"/>
          <w:szCs w:val="24"/>
        </w:rPr>
        <w:t xml:space="preserve">But those </w:t>
      </w:r>
      <w:r>
        <w:rPr>
          <w:rFonts w:ascii="Times New Roman" w:hAnsi="Times New Roman" w:cs="Times New Roman"/>
          <w:sz w:val="24"/>
          <w:szCs w:val="24"/>
        </w:rPr>
        <w:t>who are related to debtor shall not be member of committee of creditor.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E04053">
        <w:rPr>
          <w:rFonts w:ascii="Times New Roman" w:hAnsi="Times New Roman" w:cs="Times New Roman"/>
          <w:sz w:val="24"/>
          <w:szCs w:val="24"/>
        </w:rPr>
        <w:t xml:space="preserve">After </w:t>
      </w:r>
      <w:r w:rsidR="00E04053" w:rsidRPr="00E04053">
        <w:rPr>
          <w:rFonts w:ascii="Times New Roman" w:hAnsi="Times New Roman" w:cs="Times New Roman"/>
          <w:sz w:val="24"/>
          <w:szCs w:val="24"/>
        </w:rPr>
        <w:t>its formation</w:t>
      </w:r>
      <w:r w:rsidR="00E04053">
        <w:rPr>
          <w:rFonts w:ascii="Times New Roman" w:hAnsi="Times New Roman" w:cs="Times New Roman"/>
          <w:sz w:val="24"/>
          <w:szCs w:val="24"/>
        </w:rPr>
        <w:t xml:space="preserve">, it would either </w:t>
      </w:r>
      <w:r w:rsidR="00E04053" w:rsidRPr="00E04053">
        <w:rPr>
          <w:rFonts w:ascii="Times New Roman" w:hAnsi="Times New Roman" w:cs="Times New Roman"/>
          <w:sz w:val="24"/>
          <w:szCs w:val="24"/>
        </w:rPr>
        <w:t>confirm resolution professional as insolvency resolution professional or appoint another insolvency resolution professional.</w:t>
      </w:r>
      <w:r w:rsidR="00A15278">
        <w:rPr>
          <w:rFonts w:ascii="Times New Roman" w:hAnsi="Times New Roman" w:cs="Times New Roman"/>
          <w:sz w:val="24"/>
          <w:szCs w:val="24"/>
        </w:rPr>
        <w:t xml:space="preserve"> Its </w:t>
      </w:r>
      <w:r w:rsidR="00A15278" w:rsidRPr="00A15278">
        <w:rPr>
          <w:rFonts w:ascii="Times New Roman" w:hAnsi="Times New Roman" w:cs="Times New Roman"/>
          <w:sz w:val="24"/>
          <w:szCs w:val="24"/>
        </w:rPr>
        <w:t>first meeting</w:t>
      </w:r>
      <w:r w:rsidR="00A15278">
        <w:rPr>
          <w:rFonts w:ascii="Times New Roman" w:hAnsi="Times New Roman" w:cs="Times New Roman"/>
          <w:sz w:val="24"/>
          <w:szCs w:val="24"/>
        </w:rPr>
        <w:t xml:space="preserve"> </w:t>
      </w:r>
      <w:r w:rsidR="00A15278" w:rsidRPr="00A15278">
        <w:rPr>
          <w:rFonts w:ascii="Times New Roman" w:hAnsi="Times New Roman" w:cs="Times New Roman"/>
          <w:sz w:val="24"/>
          <w:szCs w:val="24"/>
        </w:rPr>
        <w:t>shall be held within seven days of its formation and the decision of appointment of resolution professional shall be made by 66% of the majority votes.</w:t>
      </w:r>
      <w:r w:rsidR="00A15278">
        <w:rPr>
          <w:rStyle w:val="FootnoteReference"/>
          <w:rFonts w:ascii="Times New Roman" w:hAnsi="Times New Roman" w:cs="Times New Roman"/>
          <w:sz w:val="24"/>
          <w:szCs w:val="24"/>
        </w:rPr>
        <w:footnoteReference w:id="27"/>
      </w:r>
      <w:r w:rsidR="00A15278">
        <w:rPr>
          <w:rFonts w:ascii="Times New Roman" w:hAnsi="Times New Roman" w:cs="Times New Roman"/>
          <w:sz w:val="24"/>
          <w:szCs w:val="24"/>
        </w:rPr>
        <w:t xml:space="preserve"> </w:t>
      </w:r>
      <w:r>
        <w:rPr>
          <w:rFonts w:ascii="Times New Roman" w:hAnsi="Times New Roman" w:cs="Times New Roman"/>
          <w:sz w:val="24"/>
          <w:szCs w:val="24"/>
        </w:rPr>
        <w:t xml:space="preserve">According to regulation 22 of </w:t>
      </w:r>
      <w:r w:rsidRPr="006B1D62">
        <w:rPr>
          <w:rFonts w:ascii="Times New Roman" w:hAnsi="Times New Roman" w:cs="Times New Roman"/>
          <w:sz w:val="24"/>
          <w:szCs w:val="24"/>
        </w:rPr>
        <w:t xml:space="preserve">CIRP </w:t>
      </w:r>
      <w:r w:rsidRPr="00332B71">
        <w:rPr>
          <w:rFonts w:ascii="Times New Roman" w:hAnsi="Times New Roman" w:cs="Times New Roman"/>
          <w:sz w:val="24"/>
          <w:szCs w:val="24"/>
        </w:rPr>
        <w:t>Regulations quorum of meeting is 33%, however, this quorum can be changed by committee</w:t>
      </w:r>
      <w:r>
        <w:rPr>
          <w:rFonts w:ascii="Times New Roman" w:hAnsi="Times New Roman" w:cs="Times New Roman"/>
          <w:sz w:val="24"/>
          <w:szCs w:val="24"/>
        </w:rPr>
        <w:t xml:space="preserve"> for its meetings.</w:t>
      </w:r>
    </w:p>
    <w:p w:rsidR="0061469B" w:rsidRPr="006B1D62" w:rsidRDefault="0081713F"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61469B">
        <w:rPr>
          <w:rFonts w:ascii="Times New Roman" w:hAnsi="Times New Roman" w:cs="Times New Roman"/>
          <w:b/>
          <w:sz w:val="24"/>
          <w:szCs w:val="24"/>
        </w:rPr>
        <w:t xml:space="preserve">. </w:t>
      </w:r>
      <w:r w:rsidR="0061469B" w:rsidRPr="006B1D62">
        <w:rPr>
          <w:rFonts w:ascii="Times New Roman" w:hAnsi="Times New Roman" w:cs="Times New Roman"/>
          <w:b/>
          <w:sz w:val="24"/>
          <w:szCs w:val="24"/>
        </w:rPr>
        <w:t xml:space="preserve">Resolution Professional </w:t>
      </w:r>
    </w:p>
    <w:p w:rsidR="0061469B" w:rsidRPr="00E77476" w:rsidRDefault="00DE4C2B" w:rsidP="0060563F">
      <w:pPr>
        <w:autoSpaceDE w:val="0"/>
        <w:autoSpaceDN w:val="0"/>
        <w:adjustRightInd w:val="0"/>
        <w:spacing w:before="240" w:line="240" w:lineRule="auto"/>
        <w:jc w:val="both"/>
        <w:rPr>
          <w:rFonts w:ascii="Times New Roman" w:hAnsi="Times New Roman" w:cs="Times New Roman"/>
          <w:color w:val="00000A"/>
          <w:sz w:val="24"/>
          <w:szCs w:val="24"/>
        </w:rPr>
      </w:pPr>
      <w:r w:rsidRPr="00DE4C2B">
        <w:rPr>
          <w:rFonts w:ascii="Times New Roman" w:hAnsi="Times New Roman" w:cs="Times New Roman"/>
          <w:sz w:val="24"/>
          <w:szCs w:val="24"/>
        </w:rPr>
        <w:t xml:space="preserve">Resolution professional as </w:t>
      </w:r>
      <w:r>
        <w:rPr>
          <w:rFonts w:ascii="Times New Roman" w:hAnsi="Times New Roman" w:cs="Times New Roman"/>
          <w:sz w:val="24"/>
          <w:szCs w:val="24"/>
        </w:rPr>
        <w:t xml:space="preserve">defined in </w:t>
      </w:r>
      <w:r w:rsidR="0081713F">
        <w:rPr>
          <w:rFonts w:ascii="Times New Roman" w:hAnsi="Times New Roman" w:cs="Times New Roman"/>
          <w:sz w:val="24"/>
          <w:szCs w:val="24"/>
        </w:rPr>
        <w:t>Section 5(27)</w:t>
      </w:r>
      <w:r>
        <w:rPr>
          <w:rFonts w:ascii="Times New Roman" w:hAnsi="Times New Roman" w:cs="Times New Roman"/>
          <w:sz w:val="24"/>
          <w:szCs w:val="24"/>
        </w:rPr>
        <w:t xml:space="preserve"> is</w:t>
      </w:r>
      <w:r w:rsidR="0081713F">
        <w:rPr>
          <w:rFonts w:ascii="Times New Roman" w:hAnsi="Times New Roman" w:cs="Times New Roman"/>
          <w:sz w:val="24"/>
          <w:szCs w:val="24"/>
        </w:rPr>
        <w:t xml:space="preserve"> </w:t>
      </w:r>
      <w:r w:rsidR="0061469B" w:rsidRPr="00E77476">
        <w:rPr>
          <w:rFonts w:ascii="Times New Roman" w:hAnsi="Times New Roman" w:cs="Times New Roman"/>
          <w:sz w:val="24"/>
          <w:szCs w:val="24"/>
        </w:rPr>
        <w:t>"</w:t>
      </w:r>
      <w:r w:rsidR="0061469B" w:rsidRPr="00E77476">
        <w:rPr>
          <w:rFonts w:ascii="Times New Roman" w:hAnsi="Times New Roman" w:cs="Times New Roman"/>
          <w:color w:val="00000A"/>
          <w:sz w:val="24"/>
          <w:szCs w:val="24"/>
        </w:rPr>
        <w:t>an insolvency</w:t>
      </w:r>
      <w:r w:rsidR="0061469B">
        <w:rPr>
          <w:rFonts w:ascii="Times New Roman" w:hAnsi="Times New Roman" w:cs="Times New Roman"/>
          <w:color w:val="00000A"/>
          <w:sz w:val="24"/>
          <w:szCs w:val="24"/>
        </w:rPr>
        <w:t xml:space="preserve"> </w:t>
      </w:r>
      <w:r w:rsidR="0061469B" w:rsidRPr="00E77476">
        <w:rPr>
          <w:rFonts w:ascii="Times New Roman" w:hAnsi="Times New Roman" w:cs="Times New Roman"/>
          <w:color w:val="00000A"/>
          <w:sz w:val="24"/>
          <w:szCs w:val="24"/>
        </w:rPr>
        <w:t xml:space="preserve">professional appointed to conduct the </w:t>
      </w:r>
      <w:r w:rsidR="00D001A9">
        <w:rPr>
          <w:rFonts w:ascii="Times New Roman" w:hAnsi="Times New Roman" w:cs="Times New Roman"/>
          <w:color w:val="00000A"/>
          <w:sz w:val="24"/>
          <w:szCs w:val="24"/>
        </w:rPr>
        <w:t>CIRP</w:t>
      </w:r>
      <w:r w:rsidR="0061469B" w:rsidRPr="00E77476">
        <w:rPr>
          <w:rFonts w:ascii="Times New Roman" w:hAnsi="Times New Roman" w:cs="Times New Roman"/>
          <w:color w:val="00000A"/>
          <w:sz w:val="24"/>
          <w:szCs w:val="24"/>
        </w:rPr>
        <w:t xml:space="preserve"> </w:t>
      </w:r>
      <w:r w:rsidR="0061469B" w:rsidRPr="00E77476">
        <w:rPr>
          <w:rFonts w:ascii="Times New Roman" w:hAnsi="Times New Roman" w:cs="Times New Roman"/>
          <w:color w:val="000000"/>
          <w:sz w:val="24"/>
          <w:szCs w:val="24"/>
        </w:rPr>
        <w:t>or the prepackaged</w:t>
      </w:r>
      <w:r w:rsidR="0061469B">
        <w:rPr>
          <w:rFonts w:ascii="Times New Roman" w:hAnsi="Times New Roman" w:cs="Times New Roman"/>
          <w:color w:val="00000A"/>
          <w:sz w:val="24"/>
          <w:szCs w:val="24"/>
        </w:rPr>
        <w:t xml:space="preserve"> </w:t>
      </w:r>
      <w:r w:rsidR="0061469B" w:rsidRPr="00E77476">
        <w:rPr>
          <w:rFonts w:ascii="Times New Roman" w:hAnsi="Times New Roman" w:cs="Times New Roman"/>
          <w:color w:val="000000"/>
          <w:sz w:val="24"/>
          <w:szCs w:val="24"/>
        </w:rPr>
        <w:t>insolvency resoluti</w:t>
      </w:r>
      <w:r w:rsidR="0061469B">
        <w:rPr>
          <w:rFonts w:ascii="Times New Roman" w:hAnsi="Times New Roman" w:cs="Times New Roman"/>
          <w:color w:val="000000"/>
          <w:sz w:val="24"/>
          <w:szCs w:val="24"/>
        </w:rPr>
        <w:t>on process, as the case may be,</w:t>
      </w:r>
      <w:r w:rsidR="0061469B" w:rsidRPr="00E77476">
        <w:rPr>
          <w:rFonts w:ascii="Times New Roman" w:hAnsi="Times New Roman" w:cs="Times New Roman"/>
          <w:color w:val="000000"/>
          <w:sz w:val="24"/>
          <w:szCs w:val="24"/>
        </w:rPr>
        <w:t xml:space="preserve"> </w:t>
      </w:r>
      <w:r w:rsidR="0061469B" w:rsidRPr="00E77476">
        <w:rPr>
          <w:rFonts w:ascii="Times New Roman" w:hAnsi="Times New Roman" w:cs="Times New Roman"/>
          <w:color w:val="00000A"/>
          <w:sz w:val="24"/>
          <w:szCs w:val="24"/>
        </w:rPr>
        <w:t>and includes an interim resolution professional"</w:t>
      </w:r>
      <w:r w:rsidR="0061469B">
        <w:rPr>
          <w:rFonts w:ascii="Times New Roman" w:hAnsi="Times New Roman" w:cs="Times New Roman"/>
          <w:color w:val="00000A"/>
          <w:sz w:val="24"/>
          <w:szCs w:val="24"/>
        </w:rPr>
        <w:t xml:space="preserve">.  The time frame of the insolvency professional is till he has been confirmed by committee of creditors or he has been replaced by the committee. </w:t>
      </w:r>
      <w:r w:rsidR="00BB7249">
        <w:rPr>
          <w:rFonts w:ascii="Times New Roman" w:hAnsi="Times New Roman" w:cs="Times New Roman"/>
          <w:color w:val="00000A"/>
          <w:sz w:val="24"/>
          <w:szCs w:val="24"/>
        </w:rPr>
        <w:t>I</w:t>
      </w:r>
      <w:r w:rsidR="0061469B">
        <w:rPr>
          <w:rFonts w:ascii="Times New Roman" w:hAnsi="Times New Roman" w:cs="Times New Roman"/>
          <w:color w:val="00000A"/>
          <w:sz w:val="24"/>
          <w:szCs w:val="24"/>
        </w:rPr>
        <w:t>ssue of appointment of resolution professional shall be resolved by 66% of majority votes.</w:t>
      </w:r>
      <w:r w:rsidR="0061469B">
        <w:rPr>
          <w:rStyle w:val="FootnoteReference"/>
          <w:rFonts w:ascii="Times New Roman" w:hAnsi="Times New Roman" w:cs="Times New Roman"/>
          <w:color w:val="00000A"/>
          <w:sz w:val="24"/>
          <w:szCs w:val="24"/>
        </w:rPr>
        <w:footnoteReference w:id="28"/>
      </w:r>
      <w:r w:rsidR="0061469B">
        <w:rPr>
          <w:rFonts w:ascii="Times New Roman" w:hAnsi="Times New Roman" w:cs="Times New Roman"/>
          <w:color w:val="00000A"/>
          <w:sz w:val="24"/>
          <w:szCs w:val="24"/>
        </w:rPr>
        <w:t xml:space="preserve"> If it does not replace the resolution professional then he shall continue to hold the position and perform his duties.</w:t>
      </w:r>
      <w:r w:rsidR="009A03CB" w:rsidRPr="009A03CB">
        <w:t xml:space="preserve"> </w:t>
      </w:r>
      <w:r w:rsidR="009A03CB" w:rsidRPr="009A03CB">
        <w:rPr>
          <w:rFonts w:ascii="Times New Roman" w:hAnsi="Times New Roman" w:cs="Times New Roman"/>
          <w:color w:val="00000A"/>
          <w:sz w:val="24"/>
          <w:szCs w:val="24"/>
        </w:rPr>
        <w:t>According to regulation 3 of CIRP Regulations, resolution professional appointed shall be from the entity of resolution professional which is independent of corporate debtor.</w:t>
      </w:r>
    </w:p>
    <w:p w:rsidR="0061469B" w:rsidRDefault="0061469B"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6B1D62">
        <w:rPr>
          <w:rFonts w:ascii="Times New Roman" w:hAnsi="Times New Roman" w:cs="Times New Roman"/>
          <w:b/>
          <w:sz w:val="24"/>
          <w:szCs w:val="24"/>
        </w:rPr>
        <w:t>Punjab National Bank Vs. Mr. Kirah Shah, IRP of ORG Informatics Ltd.</w:t>
      </w:r>
      <w:r>
        <w:rPr>
          <w:rFonts w:ascii="Times New Roman" w:hAnsi="Times New Roman" w:cs="Times New Roman"/>
          <w:sz w:val="24"/>
          <w:szCs w:val="24"/>
        </w:rPr>
        <w:t>,</w:t>
      </w:r>
      <w:r w:rsidRPr="00941B35">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BB7249" w:rsidRPr="00BB7249">
        <w:rPr>
          <w:rFonts w:ascii="Times New Roman" w:hAnsi="Times New Roman" w:cs="Times New Roman"/>
          <w:sz w:val="24"/>
          <w:szCs w:val="24"/>
        </w:rPr>
        <w:t xml:space="preserve">NCLAT </w:t>
      </w:r>
      <w:r>
        <w:rPr>
          <w:rFonts w:ascii="Times New Roman" w:hAnsi="Times New Roman" w:cs="Times New Roman"/>
          <w:sz w:val="24"/>
          <w:szCs w:val="24"/>
        </w:rPr>
        <w:t xml:space="preserve">held that decision of committee </w:t>
      </w:r>
      <w:r w:rsidR="00DC6CC1">
        <w:rPr>
          <w:rFonts w:ascii="Times New Roman" w:hAnsi="Times New Roman" w:cs="Times New Roman"/>
          <w:sz w:val="24"/>
          <w:szCs w:val="24"/>
        </w:rPr>
        <w:t xml:space="preserve">to </w:t>
      </w:r>
      <w:r>
        <w:rPr>
          <w:rFonts w:ascii="Times New Roman" w:hAnsi="Times New Roman" w:cs="Times New Roman"/>
          <w:sz w:val="24"/>
          <w:szCs w:val="24"/>
        </w:rPr>
        <w:t>replace resolution professional shall not be subject to adjudicating authority unless it is believe</w:t>
      </w:r>
      <w:r w:rsidR="00DC6CC1">
        <w:rPr>
          <w:rFonts w:ascii="Times New Roman" w:hAnsi="Times New Roman" w:cs="Times New Roman"/>
          <w:sz w:val="24"/>
          <w:szCs w:val="24"/>
        </w:rPr>
        <w:t>d</w:t>
      </w:r>
      <w:r>
        <w:rPr>
          <w:rFonts w:ascii="Times New Roman" w:hAnsi="Times New Roman" w:cs="Times New Roman"/>
          <w:sz w:val="24"/>
          <w:szCs w:val="24"/>
        </w:rPr>
        <w:t xml:space="preserve"> that there was decision without jurisdiction.</w:t>
      </w:r>
    </w:p>
    <w:p w:rsidR="0061469B" w:rsidRPr="006B1D62" w:rsidRDefault="009A03CB"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61469B">
        <w:rPr>
          <w:rFonts w:ascii="Times New Roman" w:hAnsi="Times New Roman" w:cs="Times New Roman"/>
          <w:b/>
          <w:sz w:val="24"/>
          <w:szCs w:val="24"/>
        </w:rPr>
        <w:t xml:space="preserve">. </w:t>
      </w:r>
      <w:r w:rsidR="0061469B" w:rsidRPr="006B1D62">
        <w:rPr>
          <w:rFonts w:ascii="Times New Roman" w:hAnsi="Times New Roman" w:cs="Times New Roman"/>
          <w:b/>
          <w:sz w:val="24"/>
          <w:szCs w:val="24"/>
        </w:rPr>
        <w:t>Resolution Plans-</w:t>
      </w:r>
    </w:p>
    <w:p w:rsidR="0061469B" w:rsidRPr="008F2949" w:rsidRDefault="00131BC5" w:rsidP="0060563F">
      <w:pPr>
        <w:autoSpaceDE w:val="0"/>
        <w:autoSpaceDN w:val="0"/>
        <w:adjustRightInd w:val="0"/>
        <w:spacing w:before="240" w:line="240" w:lineRule="auto"/>
        <w:jc w:val="both"/>
        <w:rPr>
          <w:rFonts w:ascii="Times New Roman" w:hAnsi="Times New Roman" w:cs="Times New Roman"/>
          <w:color w:val="00000A"/>
          <w:sz w:val="24"/>
          <w:szCs w:val="24"/>
        </w:rPr>
      </w:pPr>
      <w:r w:rsidRPr="00131BC5">
        <w:rPr>
          <w:rFonts w:ascii="Times New Roman" w:hAnsi="Times New Roman" w:cs="Times New Roman"/>
          <w:sz w:val="24"/>
          <w:szCs w:val="24"/>
        </w:rPr>
        <w:t xml:space="preserve">Resolution plan </w:t>
      </w:r>
      <w:r>
        <w:rPr>
          <w:rFonts w:ascii="Times New Roman" w:hAnsi="Times New Roman" w:cs="Times New Roman"/>
          <w:sz w:val="24"/>
          <w:szCs w:val="24"/>
        </w:rPr>
        <w:t xml:space="preserve">according to </w:t>
      </w:r>
      <w:r w:rsidR="00CD2BE2" w:rsidRPr="00B6757D">
        <w:rPr>
          <w:rFonts w:ascii="Times New Roman" w:hAnsi="Times New Roman" w:cs="Times New Roman"/>
          <w:sz w:val="24"/>
          <w:szCs w:val="24"/>
        </w:rPr>
        <w:t>S</w:t>
      </w:r>
      <w:r w:rsidR="00B6757D" w:rsidRPr="00B6757D">
        <w:rPr>
          <w:rFonts w:ascii="Times New Roman" w:hAnsi="Times New Roman" w:cs="Times New Roman"/>
          <w:sz w:val="24"/>
          <w:szCs w:val="24"/>
        </w:rPr>
        <w:t>ection 5</w:t>
      </w:r>
      <w:r w:rsidR="00687501">
        <w:rPr>
          <w:rFonts w:ascii="Times New Roman" w:hAnsi="Times New Roman" w:cs="Times New Roman"/>
          <w:sz w:val="24"/>
          <w:szCs w:val="24"/>
        </w:rPr>
        <w:t xml:space="preserve">(26) of the Code </w:t>
      </w:r>
      <w:r>
        <w:rPr>
          <w:rFonts w:ascii="Times New Roman" w:hAnsi="Times New Roman" w:cs="Times New Roman"/>
          <w:sz w:val="24"/>
          <w:szCs w:val="24"/>
        </w:rPr>
        <w:t xml:space="preserve">is </w:t>
      </w:r>
      <w:r w:rsidR="0061469B" w:rsidRPr="008F2949">
        <w:rPr>
          <w:rFonts w:ascii="Times New Roman" w:hAnsi="Times New Roman" w:cs="Times New Roman"/>
          <w:sz w:val="24"/>
          <w:szCs w:val="24"/>
        </w:rPr>
        <w:t>"</w:t>
      </w:r>
      <w:r w:rsidR="0061469B" w:rsidRPr="008F2949">
        <w:rPr>
          <w:rFonts w:ascii="Times New Roman" w:hAnsi="Times New Roman" w:cs="Times New Roman"/>
          <w:color w:val="00000A"/>
          <w:sz w:val="24"/>
          <w:szCs w:val="24"/>
        </w:rPr>
        <w:t>a plan proposed by resolution applicant for insolvency resolution of the corporate debtor as a going concern in accordance with Part II</w:t>
      </w:r>
      <w:r w:rsidR="0061469B" w:rsidRPr="008F2949">
        <w:rPr>
          <w:rFonts w:ascii="Times New Roman" w:hAnsi="Times New Roman" w:cs="Times New Roman"/>
          <w:color w:val="231F20"/>
          <w:sz w:val="24"/>
          <w:szCs w:val="24"/>
        </w:rPr>
        <w:t>"</w:t>
      </w:r>
      <w:r w:rsidR="0061469B">
        <w:rPr>
          <w:rFonts w:ascii="Times New Roman" w:hAnsi="Times New Roman" w:cs="Times New Roman"/>
          <w:color w:val="231F20"/>
          <w:sz w:val="24"/>
          <w:szCs w:val="24"/>
        </w:rPr>
        <w:t>.</w:t>
      </w:r>
    </w:p>
    <w:p w:rsidR="0061469B" w:rsidRDefault="0061469B" w:rsidP="0060563F">
      <w:pPr>
        <w:spacing w:before="240" w:line="240" w:lineRule="auto"/>
        <w:jc w:val="both"/>
        <w:rPr>
          <w:rFonts w:ascii="Times New Roman" w:hAnsi="Times New Roman" w:cs="Times New Roman"/>
          <w:sz w:val="24"/>
          <w:szCs w:val="24"/>
        </w:rPr>
      </w:pPr>
      <w:r w:rsidRPr="00DD7882">
        <w:rPr>
          <w:rFonts w:ascii="Times New Roman" w:hAnsi="Times New Roman" w:cs="Times New Roman"/>
          <w:sz w:val="24"/>
          <w:szCs w:val="24"/>
        </w:rPr>
        <w:t>When expression of interest has been received for the debtor then after confirming that it satisfies the conditions required it shall be able to access the information and only then can submit the resolution plan.</w:t>
      </w:r>
      <w:r w:rsidRPr="00DD7882">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A90CE0" w:rsidRDefault="00A90CE0"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expression of interest is received, then resolution professional takes necessary step and publish a list. With completion of process of receiving expression of interest, it resolution professional begin </w:t>
      </w:r>
      <w:r w:rsidR="005D77EB">
        <w:rPr>
          <w:rFonts w:ascii="Times New Roman" w:hAnsi="Times New Roman" w:cs="Times New Roman"/>
          <w:sz w:val="24"/>
          <w:szCs w:val="24"/>
        </w:rPr>
        <w:t>to call</w:t>
      </w:r>
      <w:r>
        <w:rPr>
          <w:rFonts w:ascii="Times New Roman" w:hAnsi="Times New Roman" w:cs="Times New Roman"/>
          <w:sz w:val="24"/>
          <w:szCs w:val="24"/>
        </w:rPr>
        <w:t xml:space="preserve"> resolution plan.</w:t>
      </w:r>
    </w:p>
    <w:p w:rsidR="00A90CE0" w:rsidRDefault="00A90CE0" w:rsidP="0060563F">
      <w:p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resolution plans are received from the proposed resolution applicants, </w:t>
      </w:r>
      <w:r w:rsidR="005D77EB">
        <w:rPr>
          <w:rFonts w:ascii="Times New Roman" w:hAnsi="Times New Roman" w:cs="Times New Roman"/>
          <w:color w:val="000000"/>
          <w:sz w:val="24"/>
          <w:szCs w:val="24"/>
        </w:rPr>
        <w:t>who</w:t>
      </w:r>
      <w:r>
        <w:rPr>
          <w:rFonts w:ascii="Times New Roman" w:hAnsi="Times New Roman" w:cs="Times New Roman"/>
          <w:color w:val="000000"/>
          <w:sz w:val="24"/>
          <w:szCs w:val="24"/>
        </w:rPr>
        <w:t xml:space="preserve"> completely satisfy the criteria laid down for applicant by </w:t>
      </w:r>
      <w:r w:rsidR="00637656">
        <w:rPr>
          <w:rFonts w:ascii="Times New Roman" w:hAnsi="Times New Roman" w:cs="Times New Roman"/>
          <w:color w:val="000000"/>
          <w:sz w:val="24"/>
          <w:szCs w:val="24"/>
        </w:rPr>
        <w:t xml:space="preserve">committee of creditors and also, </w:t>
      </w:r>
      <w:r>
        <w:rPr>
          <w:rFonts w:ascii="Times New Roman" w:hAnsi="Times New Roman" w:cs="Times New Roman"/>
          <w:color w:val="000000"/>
          <w:sz w:val="24"/>
          <w:szCs w:val="24"/>
        </w:rPr>
        <w:t xml:space="preserve">they are not disqualified to be applicant </w:t>
      </w:r>
      <w:r w:rsidR="00637656">
        <w:rPr>
          <w:rFonts w:ascii="Times New Roman" w:hAnsi="Times New Roman" w:cs="Times New Roman"/>
          <w:color w:val="000000"/>
          <w:sz w:val="24"/>
          <w:szCs w:val="24"/>
        </w:rPr>
        <w:t>according to</w:t>
      </w:r>
      <w:r>
        <w:rPr>
          <w:rFonts w:ascii="Times New Roman" w:hAnsi="Times New Roman" w:cs="Times New Roman"/>
          <w:color w:val="000000"/>
          <w:sz w:val="24"/>
          <w:szCs w:val="24"/>
        </w:rPr>
        <w:t xml:space="preserve"> section 29A of the Code.</w:t>
      </w:r>
    </w:p>
    <w:p w:rsidR="00A90CE0" w:rsidRDefault="00A90CE0" w:rsidP="0060563F">
      <w:pPr>
        <w:spacing w:before="240" w:line="240" w:lineRule="auto"/>
        <w:jc w:val="both"/>
        <w:rPr>
          <w:rFonts w:ascii="Times New Roman" w:hAnsi="Times New Roman" w:cs="Times New Roman"/>
          <w:color w:val="000000"/>
          <w:sz w:val="24"/>
          <w:szCs w:val="24"/>
        </w:rPr>
      </w:pPr>
      <w:r w:rsidRPr="00092B60">
        <w:rPr>
          <w:rFonts w:ascii="Times New Roman" w:hAnsi="Times New Roman" w:cs="Times New Roman"/>
          <w:b/>
          <w:i/>
          <w:color w:val="000000"/>
          <w:sz w:val="24"/>
          <w:szCs w:val="24"/>
        </w:rPr>
        <w:t>Submission of plan</w:t>
      </w:r>
      <w:r>
        <w:rPr>
          <w:rFonts w:ascii="Times New Roman" w:hAnsi="Times New Roman" w:cs="Times New Roman"/>
          <w:b/>
          <w:i/>
          <w:color w:val="000000"/>
          <w:sz w:val="24"/>
          <w:szCs w:val="24"/>
        </w:rPr>
        <w:t>-</w:t>
      </w:r>
    </w:p>
    <w:p w:rsidR="00A90CE0" w:rsidRPr="00E42D27" w:rsidRDefault="00A90CE0" w:rsidP="0060563F">
      <w:pPr>
        <w:spacing w:before="240" w:line="240" w:lineRule="auto"/>
        <w:jc w:val="both"/>
        <w:rPr>
          <w:rFonts w:cs="Times New Roman"/>
          <w:color w:val="000000"/>
          <w:szCs w:val="24"/>
        </w:rPr>
      </w:pPr>
      <w:r>
        <w:rPr>
          <w:rFonts w:ascii="Times New Roman" w:hAnsi="Times New Roman" w:cs="Times New Roman"/>
          <w:color w:val="000000"/>
          <w:sz w:val="24"/>
          <w:szCs w:val="24"/>
        </w:rPr>
        <w:t xml:space="preserve">The applicant </w:t>
      </w:r>
      <w:r w:rsidR="0098789F">
        <w:rPr>
          <w:rFonts w:ascii="Times New Roman" w:hAnsi="Times New Roman" w:cs="Times New Roman"/>
          <w:color w:val="000000"/>
          <w:sz w:val="24"/>
          <w:szCs w:val="24"/>
        </w:rPr>
        <w:t>may submit the plan accompanied</w:t>
      </w:r>
      <w:r>
        <w:rPr>
          <w:rFonts w:ascii="Times New Roman" w:hAnsi="Times New Roman" w:cs="Times New Roman"/>
          <w:color w:val="000000"/>
          <w:sz w:val="24"/>
          <w:szCs w:val="24"/>
        </w:rPr>
        <w:t xml:space="preserve"> by the affidavit of his e</w:t>
      </w:r>
      <w:r w:rsidR="0098789F">
        <w:rPr>
          <w:rFonts w:ascii="Times New Roman" w:hAnsi="Times New Roman" w:cs="Times New Roman"/>
          <w:color w:val="000000"/>
          <w:sz w:val="24"/>
          <w:szCs w:val="24"/>
        </w:rPr>
        <w:t>ligibility as per section 29A. T</w:t>
      </w:r>
      <w:r>
        <w:rPr>
          <w:rFonts w:ascii="Times New Roman" w:hAnsi="Times New Roman" w:cs="Times New Roman"/>
          <w:color w:val="000000"/>
          <w:sz w:val="24"/>
          <w:szCs w:val="24"/>
        </w:rPr>
        <w:t xml:space="preserve">hat affidavit must </w:t>
      </w:r>
      <w:r w:rsidR="0098789F">
        <w:rPr>
          <w:rFonts w:ascii="Times New Roman" w:hAnsi="Times New Roman" w:cs="Times New Roman"/>
          <w:color w:val="000000"/>
          <w:sz w:val="24"/>
          <w:szCs w:val="24"/>
        </w:rPr>
        <w:t>be</w:t>
      </w:r>
      <w:r>
        <w:rPr>
          <w:rFonts w:ascii="Times New Roman" w:hAnsi="Times New Roman" w:cs="Times New Roman"/>
          <w:color w:val="000000"/>
          <w:sz w:val="24"/>
          <w:szCs w:val="24"/>
        </w:rPr>
        <w:t xml:space="preserve"> </w:t>
      </w:r>
      <w:r w:rsidR="0098789F">
        <w:rPr>
          <w:rFonts w:ascii="Times New Roman" w:hAnsi="Times New Roman" w:cs="Times New Roman"/>
          <w:color w:val="000000"/>
          <w:sz w:val="24"/>
          <w:szCs w:val="24"/>
        </w:rPr>
        <w:t>equipped</w:t>
      </w:r>
      <w:r>
        <w:rPr>
          <w:rFonts w:ascii="Times New Roman" w:hAnsi="Times New Roman" w:cs="Times New Roman"/>
          <w:color w:val="000000"/>
          <w:sz w:val="24"/>
          <w:szCs w:val="24"/>
        </w:rPr>
        <w:t xml:space="preserve"> with the information memorandum. After receiving all the plans, it is the duty of the resolution professional to scrutinize the plans on the basis of requirements mentioned under section 30(1) of Code. </w:t>
      </w:r>
    </w:p>
    <w:p w:rsidR="00A90CE0" w:rsidRDefault="004F01AB"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A</w:t>
      </w:r>
      <w:r w:rsidR="00A90CE0" w:rsidRPr="006B1D62">
        <w:rPr>
          <w:rFonts w:ascii="Times New Roman" w:hAnsi="Times New Roman" w:cs="Times New Roman"/>
          <w:sz w:val="24"/>
          <w:szCs w:val="24"/>
        </w:rPr>
        <w:t xml:space="preserve"> resolution plan </w:t>
      </w:r>
      <w:r w:rsidR="00A90CE0">
        <w:rPr>
          <w:rFonts w:ascii="Times New Roman" w:hAnsi="Times New Roman" w:cs="Times New Roman"/>
          <w:sz w:val="24"/>
          <w:szCs w:val="24"/>
        </w:rPr>
        <w:t xml:space="preserve">should consist of the </w:t>
      </w:r>
      <w:r w:rsidR="00A90CE0" w:rsidRPr="006B1D62">
        <w:rPr>
          <w:rFonts w:ascii="Times New Roman" w:hAnsi="Times New Roman" w:cs="Times New Roman"/>
          <w:sz w:val="24"/>
          <w:szCs w:val="24"/>
        </w:rPr>
        <w:t xml:space="preserve"> procedures, </w:t>
      </w:r>
      <w:r w:rsidR="00A90CE0">
        <w:rPr>
          <w:rFonts w:ascii="Times New Roman" w:hAnsi="Times New Roman" w:cs="Times New Roman"/>
          <w:sz w:val="24"/>
          <w:szCs w:val="24"/>
        </w:rPr>
        <w:t>which are required to maximize the value of assets of the debtor, which can be mentioned as</w:t>
      </w:r>
      <w:r w:rsidR="00A90CE0">
        <w:rPr>
          <w:rStyle w:val="FootnoteReference"/>
          <w:rFonts w:ascii="Times New Roman" w:hAnsi="Times New Roman" w:cs="Times New Roman"/>
          <w:sz w:val="24"/>
          <w:szCs w:val="24"/>
        </w:rPr>
        <w:footnoteReference w:id="31"/>
      </w:r>
      <w:r w:rsidR="00A90CE0">
        <w:rPr>
          <w:rFonts w:ascii="Times New Roman" w:hAnsi="Times New Roman" w:cs="Times New Roman"/>
          <w:sz w:val="24"/>
          <w:szCs w:val="24"/>
        </w:rPr>
        <w:t>-</w:t>
      </w:r>
    </w:p>
    <w:p w:rsidR="00A90CE0" w:rsidRPr="000C6EEE" w:rsidRDefault="00A90CE0" w:rsidP="0060563F">
      <w:pPr>
        <w:pStyle w:val="ListParagraph"/>
        <w:numPr>
          <w:ilvl w:val="0"/>
          <w:numId w:val="9"/>
        </w:numPr>
        <w:spacing w:before="240" w:line="240" w:lineRule="auto"/>
        <w:rPr>
          <w:rFonts w:cs="Times New Roman"/>
          <w:szCs w:val="24"/>
        </w:rPr>
      </w:pPr>
      <w:r w:rsidRPr="000C6EEE">
        <w:rPr>
          <w:rFonts w:cs="Times New Roman"/>
          <w:szCs w:val="24"/>
        </w:rPr>
        <w:t>Sale or transfer of assets</w:t>
      </w:r>
    </w:p>
    <w:p w:rsidR="00A90CE0" w:rsidRPr="000C6EEE" w:rsidRDefault="00A90CE0" w:rsidP="0060563F">
      <w:pPr>
        <w:pStyle w:val="ListParagraph"/>
        <w:numPr>
          <w:ilvl w:val="0"/>
          <w:numId w:val="9"/>
        </w:numPr>
        <w:spacing w:before="240" w:line="240" w:lineRule="auto"/>
        <w:rPr>
          <w:rFonts w:cs="Times New Roman"/>
          <w:szCs w:val="24"/>
        </w:rPr>
      </w:pPr>
      <w:r w:rsidRPr="000C6EEE">
        <w:rPr>
          <w:rFonts w:cs="Times New Roman"/>
          <w:szCs w:val="24"/>
        </w:rPr>
        <w:t>Merger or amalgamation or demerger of the debtor.</w:t>
      </w:r>
    </w:p>
    <w:p w:rsidR="00A90CE0" w:rsidRPr="000C6EEE" w:rsidRDefault="00A90CE0" w:rsidP="0060563F">
      <w:pPr>
        <w:pStyle w:val="ListParagraph"/>
        <w:numPr>
          <w:ilvl w:val="0"/>
          <w:numId w:val="9"/>
        </w:numPr>
        <w:spacing w:before="240" w:line="240" w:lineRule="auto"/>
        <w:rPr>
          <w:rFonts w:cs="Times New Roman"/>
          <w:szCs w:val="24"/>
        </w:rPr>
      </w:pPr>
      <w:r w:rsidRPr="000C6EEE">
        <w:rPr>
          <w:rFonts w:cs="Times New Roman"/>
          <w:szCs w:val="24"/>
        </w:rPr>
        <w:t>Acquisition of the share of the debtor.</w:t>
      </w:r>
    </w:p>
    <w:p w:rsidR="00A90CE0" w:rsidRPr="000C6EEE" w:rsidRDefault="00A90CE0" w:rsidP="0060563F">
      <w:pPr>
        <w:pStyle w:val="ListParagraph"/>
        <w:numPr>
          <w:ilvl w:val="0"/>
          <w:numId w:val="9"/>
        </w:numPr>
        <w:spacing w:before="240" w:line="240" w:lineRule="auto"/>
        <w:rPr>
          <w:rFonts w:cs="Times New Roman"/>
          <w:szCs w:val="24"/>
        </w:rPr>
      </w:pPr>
      <w:r w:rsidRPr="000C6EEE">
        <w:rPr>
          <w:rFonts w:cs="Times New Roman"/>
          <w:szCs w:val="24"/>
        </w:rPr>
        <w:t>Change in portfolio and technology of the debtor.</w:t>
      </w:r>
    </w:p>
    <w:p w:rsidR="00A90CE0" w:rsidRPr="000C6EEE" w:rsidRDefault="00A90CE0" w:rsidP="0060563F">
      <w:pPr>
        <w:pStyle w:val="ListParagraph"/>
        <w:numPr>
          <w:ilvl w:val="0"/>
          <w:numId w:val="9"/>
        </w:numPr>
        <w:spacing w:before="240" w:line="240" w:lineRule="auto"/>
        <w:rPr>
          <w:rFonts w:cs="Times New Roman"/>
          <w:szCs w:val="24"/>
        </w:rPr>
      </w:pPr>
      <w:r w:rsidRPr="000C6EEE">
        <w:rPr>
          <w:rFonts w:cs="Times New Roman"/>
          <w:szCs w:val="24"/>
        </w:rPr>
        <w:t>Extension of maturity.</w:t>
      </w:r>
    </w:p>
    <w:p w:rsidR="00A90CE0" w:rsidRPr="00C42EE1" w:rsidRDefault="00A90CE0" w:rsidP="0060563F">
      <w:pPr>
        <w:spacing w:before="240" w:line="240" w:lineRule="auto"/>
        <w:jc w:val="both"/>
        <w:rPr>
          <w:rFonts w:cs="Times New Roman"/>
          <w:color w:val="000000"/>
          <w:szCs w:val="24"/>
        </w:rPr>
      </w:pPr>
      <w:r>
        <w:rPr>
          <w:rFonts w:ascii="Times New Roman" w:hAnsi="Times New Roman" w:cs="Times New Roman"/>
          <w:color w:val="000000"/>
          <w:sz w:val="24"/>
          <w:szCs w:val="24"/>
        </w:rPr>
        <w:t xml:space="preserve">Along with that the plan must also consist of the contents which are mentioned in Regulation 38 of </w:t>
      </w:r>
      <w:r w:rsidRPr="00714D30">
        <w:rPr>
          <w:rFonts w:ascii="Times New Roman" w:hAnsi="Times New Roman" w:cs="Times New Roman"/>
          <w:color w:val="000000"/>
          <w:sz w:val="24"/>
          <w:szCs w:val="24"/>
        </w:rPr>
        <w:t>CIRP regulations</w:t>
      </w:r>
      <w:r w:rsidR="00DC7C75">
        <w:rPr>
          <w:rFonts w:ascii="Times New Roman" w:hAnsi="Times New Roman" w:cs="Times New Roman"/>
          <w:color w:val="000000"/>
          <w:sz w:val="24"/>
          <w:szCs w:val="24"/>
        </w:rPr>
        <w:t>.</w:t>
      </w:r>
      <w:r w:rsidR="00C42EE1">
        <w:rPr>
          <w:rFonts w:ascii="Times New Roman" w:hAnsi="Times New Roman" w:cs="Times New Roman"/>
          <w:color w:val="000000"/>
          <w:sz w:val="24"/>
          <w:szCs w:val="24"/>
        </w:rPr>
        <w:t xml:space="preserve"> Then those</w:t>
      </w:r>
      <w:r>
        <w:rPr>
          <w:rFonts w:ascii="Times New Roman" w:hAnsi="Times New Roman" w:cs="Times New Roman"/>
          <w:color w:val="000000"/>
          <w:sz w:val="24"/>
          <w:szCs w:val="24"/>
        </w:rPr>
        <w:t xml:space="preserve"> plan</w:t>
      </w:r>
      <w:r w:rsidR="00C42EE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C42EE1">
        <w:rPr>
          <w:rFonts w:ascii="Times New Roman" w:hAnsi="Times New Roman" w:cs="Times New Roman"/>
          <w:color w:val="000000"/>
          <w:sz w:val="24"/>
          <w:szCs w:val="24"/>
        </w:rPr>
        <w:t>complying</w:t>
      </w:r>
      <w:r w:rsidR="00C42EE1" w:rsidRPr="00C42EE1">
        <w:rPr>
          <w:rFonts w:ascii="Times New Roman" w:hAnsi="Times New Roman" w:cs="Times New Roman"/>
          <w:color w:val="000000"/>
          <w:sz w:val="24"/>
          <w:szCs w:val="24"/>
        </w:rPr>
        <w:t xml:space="preserve"> to conditions of the section 30 of the Code</w:t>
      </w:r>
      <w:r w:rsidR="009E1949">
        <w:rPr>
          <w:rFonts w:ascii="Times New Roman" w:hAnsi="Times New Roman" w:cs="Times New Roman"/>
          <w:color w:val="000000"/>
          <w:sz w:val="24"/>
          <w:szCs w:val="24"/>
        </w:rPr>
        <w:t xml:space="preserve">, accompanied by </w:t>
      </w:r>
      <w:r w:rsidR="009E1949" w:rsidRPr="009E1949">
        <w:rPr>
          <w:rFonts w:ascii="Times New Roman" w:hAnsi="Times New Roman" w:cs="Times New Roman"/>
          <w:color w:val="000000"/>
          <w:sz w:val="24"/>
          <w:szCs w:val="24"/>
        </w:rPr>
        <w:t>particulars rel</w:t>
      </w:r>
      <w:r w:rsidR="009E1949">
        <w:rPr>
          <w:rFonts w:ascii="Times New Roman" w:hAnsi="Times New Roman" w:cs="Times New Roman"/>
          <w:color w:val="000000"/>
          <w:sz w:val="24"/>
          <w:szCs w:val="24"/>
        </w:rPr>
        <w:t>ated to avoidance transaction</w:t>
      </w:r>
      <w:r w:rsidR="009E1949">
        <w:rPr>
          <w:rStyle w:val="FootnoteReference"/>
          <w:rFonts w:ascii="Times New Roman" w:hAnsi="Times New Roman" w:cs="Times New Roman"/>
          <w:color w:val="000000"/>
          <w:sz w:val="24"/>
          <w:szCs w:val="24"/>
        </w:rPr>
        <w:footnoteReference w:id="32"/>
      </w:r>
      <w:r w:rsidR="00C42EE1" w:rsidRPr="00C42EE1">
        <w:rPr>
          <w:rFonts w:ascii="Times New Roman" w:hAnsi="Times New Roman" w:cs="Times New Roman"/>
          <w:color w:val="000000"/>
          <w:sz w:val="24"/>
          <w:szCs w:val="24"/>
        </w:rPr>
        <w:t xml:space="preserve"> </w:t>
      </w:r>
      <w:r w:rsidR="00C42EE1">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placed before committee of creditors to obtain their assent.</w:t>
      </w:r>
    </w:p>
    <w:p w:rsidR="00A90CE0" w:rsidRDefault="00A90CE0"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committee shall evaluate those plans and record </w:t>
      </w:r>
      <w:r w:rsidR="00B92599">
        <w:rPr>
          <w:rFonts w:ascii="Times New Roman" w:hAnsi="Times New Roman" w:cs="Times New Roman"/>
          <w:sz w:val="24"/>
          <w:szCs w:val="24"/>
        </w:rPr>
        <w:t xml:space="preserve">its </w:t>
      </w:r>
      <w:r>
        <w:rPr>
          <w:rFonts w:ascii="Times New Roman" w:hAnsi="Times New Roman" w:cs="Times New Roman"/>
          <w:sz w:val="24"/>
          <w:szCs w:val="24"/>
        </w:rPr>
        <w:t>practicality and vote accordingly.</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B92599">
        <w:rPr>
          <w:rFonts w:ascii="Times New Roman" w:hAnsi="Times New Roman" w:cs="Times New Roman"/>
          <w:sz w:val="24"/>
          <w:szCs w:val="24"/>
        </w:rPr>
        <w:t xml:space="preserve">On receiving </w:t>
      </w:r>
      <w:r w:rsidR="00B92599" w:rsidRPr="00B92599">
        <w:rPr>
          <w:rFonts w:ascii="Times New Roman" w:hAnsi="Times New Roman" w:cs="Times New Roman"/>
          <w:sz w:val="24"/>
          <w:szCs w:val="24"/>
        </w:rPr>
        <w:t xml:space="preserve">minimum </w:t>
      </w:r>
      <w:r w:rsidR="00B92599">
        <w:rPr>
          <w:rFonts w:ascii="Times New Roman" w:hAnsi="Times New Roman" w:cs="Times New Roman"/>
          <w:sz w:val="24"/>
          <w:szCs w:val="24"/>
        </w:rPr>
        <w:t>vote</w:t>
      </w:r>
      <w:r w:rsidR="006270F4">
        <w:rPr>
          <w:rFonts w:ascii="Times New Roman" w:hAnsi="Times New Roman" w:cs="Times New Roman"/>
          <w:sz w:val="24"/>
          <w:szCs w:val="24"/>
        </w:rPr>
        <w:t xml:space="preserve"> of 66% t</w:t>
      </w:r>
      <w:r>
        <w:rPr>
          <w:rFonts w:ascii="Times New Roman" w:hAnsi="Times New Roman" w:cs="Times New Roman"/>
          <w:sz w:val="24"/>
          <w:szCs w:val="24"/>
        </w:rPr>
        <w:t xml:space="preserve">he plan shall be considered </w:t>
      </w:r>
      <w:r w:rsidR="006270F4">
        <w:rPr>
          <w:rFonts w:ascii="Times New Roman" w:hAnsi="Times New Roman" w:cs="Times New Roman"/>
          <w:sz w:val="24"/>
          <w:szCs w:val="24"/>
        </w:rPr>
        <w:t xml:space="preserve">as </w:t>
      </w:r>
      <w:r>
        <w:rPr>
          <w:rFonts w:ascii="Times New Roman" w:hAnsi="Times New Roman" w:cs="Times New Roman"/>
          <w:sz w:val="24"/>
          <w:szCs w:val="24"/>
        </w:rPr>
        <w:t>approved.</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committee shall approve the plan on the basis of viability. While deciding on the resolution plan the committee shall consider the percentage of distribution to different stakeholders. According to </w:t>
      </w:r>
      <w:r w:rsidRPr="006B1D62">
        <w:rPr>
          <w:rFonts w:ascii="Times New Roman" w:hAnsi="Times New Roman" w:cs="Times New Roman"/>
          <w:sz w:val="24"/>
          <w:szCs w:val="24"/>
        </w:rPr>
        <w:t xml:space="preserve">Regulation 39(3) of the CIRP Regulations </w:t>
      </w:r>
      <w:r>
        <w:rPr>
          <w:rFonts w:ascii="Times New Roman" w:hAnsi="Times New Roman" w:cs="Times New Roman"/>
          <w:sz w:val="24"/>
          <w:szCs w:val="24"/>
        </w:rPr>
        <w:t>the committee</w:t>
      </w:r>
      <w:r w:rsidRPr="006B1D62">
        <w:rPr>
          <w:rFonts w:ascii="Times New Roman" w:hAnsi="Times New Roman" w:cs="Times New Roman"/>
          <w:sz w:val="24"/>
          <w:szCs w:val="24"/>
        </w:rPr>
        <w:t xml:space="preserve"> </w:t>
      </w:r>
      <w:r>
        <w:rPr>
          <w:rFonts w:ascii="Times New Roman" w:hAnsi="Times New Roman" w:cs="Times New Roman"/>
          <w:sz w:val="24"/>
          <w:szCs w:val="24"/>
        </w:rPr>
        <w:t>shall while voting on the plan evaluate the plan, must keep a documentation about its viability, and should vote on them at the same time.</w:t>
      </w:r>
    </w:p>
    <w:p w:rsidR="007A4B76" w:rsidRPr="006B1D62" w:rsidRDefault="005955D9" w:rsidP="0060563F">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7A4B76">
        <w:rPr>
          <w:rFonts w:ascii="Times New Roman" w:hAnsi="Times New Roman" w:cs="Times New Roman"/>
          <w:b/>
          <w:sz w:val="24"/>
          <w:szCs w:val="24"/>
        </w:rPr>
        <w:t xml:space="preserve">. </w:t>
      </w:r>
      <w:r w:rsidR="007A4B76" w:rsidRPr="006B1D62">
        <w:rPr>
          <w:rFonts w:ascii="Times New Roman" w:hAnsi="Times New Roman" w:cs="Times New Roman"/>
          <w:b/>
          <w:sz w:val="24"/>
          <w:szCs w:val="24"/>
        </w:rPr>
        <w:t xml:space="preserve">Submission of the Plan </w:t>
      </w:r>
      <w:r w:rsidR="007A4B76">
        <w:rPr>
          <w:rFonts w:ascii="Times New Roman" w:hAnsi="Times New Roman" w:cs="Times New Roman"/>
          <w:b/>
          <w:sz w:val="24"/>
          <w:szCs w:val="24"/>
        </w:rPr>
        <w:t>to</w:t>
      </w:r>
      <w:r w:rsidR="007A4B76" w:rsidRPr="006B1D62">
        <w:rPr>
          <w:rFonts w:ascii="Times New Roman" w:hAnsi="Times New Roman" w:cs="Times New Roman"/>
          <w:b/>
          <w:sz w:val="24"/>
          <w:szCs w:val="24"/>
        </w:rPr>
        <w:t xml:space="preserve"> A</w:t>
      </w:r>
      <w:r w:rsidR="007A4B76">
        <w:rPr>
          <w:rFonts w:ascii="Times New Roman" w:hAnsi="Times New Roman" w:cs="Times New Roman"/>
          <w:b/>
          <w:sz w:val="24"/>
          <w:szCs w:val="24"/>
        </w:rPr>
        <w:t xml:space="preserve">djudicating </w:t>
      </w:r>
      <w:r w:rsidR="007A4B76" w:rsidRPr="006B1D62">
        <w:rPr>
          <w:rFonts w:ascii="Times New Roman" w:hAnsi="Times New Roman" w:cs="Times New Roman"/>
          <w:b/>
          <w:sz w:val="24"/>
          <w:szCs w:val="24"/>
        </w:rPr>
        <w:t>A</w:t>
      </w:r>
      <w:r w:rsidR="007A4B76">
        <w:rPr>
          <w:rFonts w:ascii="Times New Roman" w:hAnsi="Times New Roman" w:cs="Times New Roman"/>
          <w:b/>
          <w:sz w:val="24"/>
          <w:szCs w:val="24"/>
        </w:rPr>
        <w:t>uthority</w:t>
      </w:r>
      <w:r w:rsidR="007A4B76" w:rsidRPr="006B1D62">
        <w:rPr>
          <w:rFonts w:ascii="Times New Roman" w:hAnsi="Times New Roman" w:cs="Times New Roman"/>
          <w:b/>
          <w:sz w:val="24"/>
          <w:szCs w:val="24"/>
        </w:rPr>
        <w:t>-</w:t>
      </w:r>
      <w:r w:rsidR="007A4B76" w:rsidRPr="006B1D62">
        <w:rPr>
          <w:rFonts w:ascii="Times New Roman" w:hAnsi="Times New Roman" w:cs="Times New Roman"/>
          <w:sz w:val="24"/>
          <w:szCs w:val="24"/>
        </w:rPr>
        <w:t xml:space="preserve"> </w:t>
      </w:r>
    </w:p>
    <w:p w:rsidR="007A4B76" w:rsidRDefault="005B4688"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w:t>
      </w:r>
      <w:r w:rsidR="007A4B76">
        <w:rPr>
          <w:rFonts w:ascii="Times New Roman" w:hAnsi="Times New Roman" w:cs="Times New Roman"/>
          <w:sz w:val="24"/>
          <w:szCs w:val="24"/>
        </w:rPr>
        <w:t>fter the plan has been approved by the committee it shall be placed before the adjudicating authority</w:t>
      </w:r>
      <w:r w:rsidR="00C4047B">
        <w:rPr>
          <w:rFonts w:ascii="Times New Roman" w:hAnsi="Times New Roman" w:cs="Times New Roman"/>
          <w:sz w:val="24"/>
          <w:szCs w:val="24"/>
        </w:rPr>
        <w:t xml:space="preserve"> as</w:t>
      </w:r>
      <w:r>
        <w:rPr>
          <w:rFonts w:ascii="Times New Roman" w:hAnsi="Times New Roman" w:cs="Times New Roman"/>
          <w:sz w:val="24"/>
          <w:szCs w:val="24"/>
        </w:rPr>
        <w:t xml:space="preserve"> stated in section </w:t>
      </w:r>
      <w:r w:rsidRPr="005B4688">
        <w:rPr>
          <w:rFonts w:ascii="Times New Roman" w:hAnsi="Times New Roman" w:cs="Times New Roman"/>
          <w:sz w:val="24"/>
          <w:szCs w:val="24"/>
        </w:rPr>
        <w:t>30(6) of the Code</w:t>
      </w:r>
      <w:r w:rsidR="007A4B76">
        <w:rPr>
          <w:rFonts w:ascii="Times New Roman" w:hAnsi="Times New Roman" w:cs="Times New Roman"/>
          <w:sz w:val="24"/>
          <w:szCs w:val="24"/>
        </w:rPr>
        <w:t xml:space="preserve">. Further the </w:t>
      </w:r>
      <w:r w:rsidR="007A4B76" w:rsidRPr="006B1D62">
        <w:rPr>
          <w:rFonts w:ascii="Times New Roman" w:hAnsi="Times New Roman" w:cs="Times New Roman"/>
          <w:sz w:val="24"/>
          <w:szCs w:val="24"/>
        </w:rPr>
        <w:t xml:space="preserve">regulation 39(4) of </w:t>
      </w:r>
      <w:r w:rsidR="007A4B76" w:rsidRPr="00AB3D55">
        <w:rPr>
          <w:rFonts w:ascii="Times New Roman" w:hAnsi="Times New Roman" w:cs="Times New Roman"/>
          <w:sz w:val="24"/>
          <w:szCs w:val="24"/>
        </w:rPr>
        <w:t xml:space="preserve">CIRP Regulations, mentions </w:t>
      </w:r>
      <w:r w:rsidR="003F02E2">
        <w:rPr>
          <w:rFonts w:ascii="Times New Roman" w:hAnsi="Times New Roman" w:cs="Times New Roman"/>
          <w:sz w:val="24"/>
          <w:szCs w:val="24"/>
        </w:rPr>
        <w:t xml:space="preserve">that </w:t>
      </w:r>
      <w:r w:rsidR="007A4B76" w:rsidRPr="00AB3D55">
        <w:rPr>
          <w:rFonts w:ascii="Times New Roman" w:hAnsi="Times New Roman" w:cs="Times New Roman"/>
          <w:sz w:val="24"/>
          <w:szCs w:val="24"/>
        </w:rPr>
        <w:t>plan must be submitted</w:t>
      </w:r>
      <w:r w:rsidR="007A4B76">
        <w:rPr>
          <w:rFonts w:ascii="Times New Roman" w:hAnsi="Times New Roman" w:cs="Times New Roman"/>
          <w:sz w:val="24"/>
          <w:szCs w:val="24"/>
        </w:rPr>
        <w:t xml:space="preserve"> minimum 15 days before the completion of process. </w:t>
      </w:r>
      <w:r w:rsidR="005955D9">
        <w:rPr>
          <w:rFonts w:ascii="Times New Roman" w:hAnsi="Times New Roman" w:cs="Times New Roman"/>
          <w:sz w:val="24"/>
          <w:szCs w:val="24"/>
        </w:rPr>
        <w:t xml:space="preserve">On being </w:t>
      </w:r>
      <w:r w:rsidR="005955D9" w:rsidRPr="005955D9">
        <w:rPr>
          <w:rFonts w:ascii="Times New Roman" w:hAnsi="Times New Roman" w:cs="Times New Roman"/>
          <w:sz w:val="24"/>
          <w:szCs w:val="24"/>
        </w:rPr>
        <w:t>satisfied of the plan, adjudicating authority may</w:t>
      </w:r>
      <w:r w:rsidR="00D0202C">
        <w:rPr>
          <w:rFonts w:ascii="Times New Roman" w:hAnsi="Times New Roman" w:cs="Times New Roman"/>
          <w:sz w:val="24"/>
          <w:szCs w:val="24"/>
        </w:rPr>
        <w:t xml:space="preserve"> </w:t>
      </w:r>
      <w:r w:rsidR="00D0202C" w:rsidRPr="00D0202C">
        <w:rPr>
          <w:rFonts w:ascii="Times New Roman" w:hAnsi="Times New Roman" w:cs="Times New Roman"/>
          <w:sz w:val="24"/>
          <w:szCs w:val="24"/>
        </w:rPr>
        <w:t xml:space="preserve">approve </w:t>
      </w:r>
      <w:r w:rsidR="003F02E2">
        <w:rPr>
          <w:rFonts w:ascii="Times New Roman" w:hAnsi="Times New Roman" w:cs="Times New Roman"/>
          <w:sz w:val="24"/>
          <w:szCs w:val="24"/>
        </w:rPr>
        <w:t>it</w:t>
      </w:r>
      <w:r w:rsidR="00D0202C" w:rsidRPr="00D0202C">
        <w:rPr>
          <w:rFonts w:ascii="Times New Roman" w:hAnsi="Times New Roman" w:cs="Times New Roman"/>
          <w:sz w:val="24"/>
          <w:szCs w:val="24"/>
        </w:rPr>
        <w:t xml:space="preserve"> and once it has been approved, the plan shall be binding upon the debtors, creditors, guarantors etc</w:t>
      </w:r>
      <w:r w:rsidR="00D0202C">
        <w:rPr>
          <w:rFonts w:ascii="Times New Roman" w:hAnsi="Times New Roman" w:cs="Times New Roman"/>
          <w:sz w:val="24"/>
          <w:szCs w:val="24"/>
        </w:rPr>
        <w:t xml:space="preserve"> who are involved in the plan.</w:t>
      </w:r>
      <w:r w:rsidR="00D0202C">
        <w:rPr>
          <w:rStyle w:val="FootnoteReference"/>
          <w:rFonts w:ascii="Times New Roman" w:hAnsi="Times New Roman" w:cs="Times New Roman"/>
          <w:sz w:val="24"/>
          <w:szCs w:val="24"/>
        </w:rPr>
        <w:footnoteReference w:id="35"/>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6B1D62">
        <w:rPr>
          <w:rFonts w:ascii="Times New Roman" w:hAnsi="Times New Roman" w:cs="Times New Roman"/>
          <w:sz w:val="24"/>
          <w:szCs w:val="24"/>
        </w:rPr>
        <w:t>Central Government, any state government, or any local authority</w:t>
      </w:r>
      <w:r>
        <w:rPr>
          <w:rFonts w:ascii="Times New Roman" w:hAnsi="Times New Roman" w:cs="Times New Roman"/>
          <w:sz w:val="24"/>
          <w:szCs w:val="24"/>
        </w:rPr>
        <w:t xml:space="preserve"> shall also be bound by the plan approved by adjudicating authority. Before amendment, these authorities were not accepting the manner in which the debt due to them were treated in the resolution plan, so an amendment was brought to bound them to the plan.</w:t>
      </w:r>
      <w:r w:rsidR="00D148AF">
        <w:rPr>
          <w:rFonts w:ascii="Times New Roman" w:hAnsi="Times New Roman" w:cs="Times New Roman"/>
          <w:sz w:val="24"/>
          <w:szCs w:val="24"/>
        </w:rPr>
        <w:t xml:space="preserve"> </w:t>
      </w:r>
      <w:r>
        <w:rPr>
          <w:rFonts w:ascii="Times New Roman" w:hAnsi="Times New Roman" w:cs="Times New Roman"/>
          <w:sz w:val="24"/>
          <w:szCs w:val="24"/>
        </w:rPr>
        <w:t>When the order of approval of plan has been passed</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p>
    <w:p w:rsidR="007A4B76" w:rsidRPr="005F49AC" w:rsidRDefault="007A4B76" w:rsidP="0060563F">
      <w:pPr>
        <w:pStyle w:val="ListParagraph"/>
        <w:numPr>
          <w:ilvl w:val="0"/>
          <w:numId w:val="11"/>
        </w:numPr>
        <w:spacing w:before="240" w:line="240" w:lineRule="auto"/>
        <w:rPr>
          <w:rFonts w:cs="Times New Roman"/>
          <w:szCs w:val="24"/>
        </w:rPr>
      </w:pPr>
      <w:r w:rsidRPr="005F49AC">
        <w:rPr>
          <w:rFonts w:cs="Times New Roman"/>
          <w:szCs w:val="24"/>
        </w:rPr>
        <w:t>Moratorium shall cease to effect.</w:t>
      </w:r>
    </w:p>
    <w:p w:rsidR="007A4B76" w:rsidRPr="005F49AC" w:rsidRDefault="007A4B76" w:rsidP="0060563F">
      <w:pPr>
        <w:pStyle w:val="ListParagraph"/>
        <w:numPr>
          <w:ilvl w:val="0"/>
          <w:numId w:val="11"/>
        </w:numPr>
        <w:spacing w:before="240" w:line="240" w:lineRule="auto"/>
        <w:rPr>
          <w:rFonts w:cs="Times New Roman"/>
          <w:szCs w:val="24"/>
        </w:rPr>
      </w:pPr>
      <w:r w:rsidRPr="005F49AC">
        <w:rPr>
          <w:rFonts w:cs="Times New Roman"/>
          <w:szCs w:val="24"/>
        </w:rPr>
        <w:t>All records shall be sent to Board for its documentation by resolution professional.</w:t>
      </w:r>
    </w:p>
    <w:p w:rsidR="007A4B76" w:rsidRPr="00FB5228" w:rsidRDefault="00D148AF" w:rsidP="0060563F">
      <w:pPr>
        <w:spacing w:before="240" w:line="240" w:lineRule="auto"/>
        <w:jc w:val="both"/>
        <w:rPr>
          <w:rFonts w:ascii="Times New Roman" w:hAnsi="Times New Roman" w:cs="Times New Roman"/>
          <w:sz w:val="24"/>
          <w:szCs w:val="24"/>
        </w:rPr>
      </w:pPr>
      <w:r w:rsidRPr="00D148AF">
        <w:rPr>
          <w:rFonts w:ascii="Times New Roman" w:hAnsi="Times New Roman" w:cs="Times New Roman"/>
          <w:sz w:val="24"/>
          <w:szCs w:val="24"/>
        </w:rPr>
        <w:t xml:space="preserve">If the authority is of the opinion that the plan does not comply the prerequisite mentioned under subsection 2 of section 30 of Code, </w:t>
      </w:r>
      <w:r w:rsidR="003F02E2">
        <w:rPr>
          <w:rFonts w:ascii="Times New Roman" w:hAnsi="Times New Roman" w:cs="Times New Roman"/>
          <w:sz w:val="24"/>
          <w:szCs w:val="24"/>
        </w:rPr>
        <w:t>it</w:t>
      </w:r>
      <w:r w:rsidRPr="00D148AF">
        <w:rPr>
          <w:rFonts w:ascii="Times New Roman" w:hAnsi="Times New Roman" w:cs="Times New Roman"/>
          <w:sz w:val="24"/>
          <w:szCs w:val="24"/>
        </w:rPr>
        <w:t xml:space="preserve"> can be rejected by the authority.</w:t>
      </w:r>
      <w:r>
        <w:rPr>
          <w:rFonts w:ascii="Times New Roman" w:hAnsi="Times New Roman" w:cs="Times New Roman"/>
          <w:sz w:val="24"/>
          <w:szCs w:val="24"/>
        </w:rPr>
        <w:t xml:space="preserve"> </w:t>
      </w:r>
      <w:r w:rsidR="007A4B76">
        <w:rPr>
          <w:rFonts w:ascii="Times New Roman" w:hAnsi="Times New Roman" w:cs="Times New Roman"/>
          <w:sz w:val="24"/>
          <w:szCs w:val="24"/>
        </w:rPr>
        <w:t>According section 31(2)of the Code, if authority is of opinion that plan does not comply the prerequisite mentioned under section 30</w:t>
      </w:r>
      <w:r w:rsidR="00FB5228">
        <w:rPr>
          <w:rFonts w:ascii="Times New Roman" w:hAnsi="Times New Roman" w:cs="Times New Roman"/>
          <w:sz w:val="24"/>
          <w:szCs w:val="24"/>
        </w:rPr>
        <w:t>(2)</w:t>
      </w:r>
      <w:r w:rsidR="007A4B76">
        <w:rPr>
          <w:rFonts w:ascii="Times New Roman" w:hAnsi="Times New Roman" w:cs="Times New Roman"/>
          <w:sz w:val="24"/>
          <w:szCs w:val="24"/>
        </w:rPr>
        <w:t xml:space="preserve"> of Code, </w:t>
      </w:r>
      <w:r w:rsidR="00FB5228">
        <w:rPr>
          <w:rFonts w:ascii="Times New Roman" w:hAnsi="Times New Roman" w:cs="Times New Roman"/>
          <w:sz w:val="24"/>
          <w:szCs w:val="24"/>
        </w:rPr>
        <w:t>it</w:t>
      </w:r>
      <w:r w:rsidR="007A4B76">
        <w:rPr>
          <w:rFonts w:ascii="Times New Roman" w:hAnsi="Times New Roman" w:cs="Times New Roman"/>
          <w:sz w:val="24"/>
          <w:szCs w:val="24"/>
        </w:rPr>
        <w:t xml:space="preserve"> can be rejected by the authority. If any person is aggrieved by the order of the adjudicating authority then appeal shall be made to the NCLAT.</w:t>
      </w:r>
      <w:r w:rsidR="007A4B76">
        <w:rPr>
          <w:rStyle w:val="FootnoteReference"/>
          <w:rFonts w:ascii="Times New Roman" w:hAnsi="Times New Roman" w:cs="Times New Roman"/>
          <w:sz w:val="24"/>
          <w:szCs w:val="24"/>
        </w:rPr>
        <w:footnoteReference w:id="37"/>
      </w:r>
      <w:r w:rsidR="007A4B76">
        <w:rPr>
          <w:rFonts w:ascii="Times New Roman" w:hAnsi="Times New Roman" w:cs="Times New Roman"/>
          <w:sz w:val="24"/>
          <w:szCs w:val="24"/>
        </w:rPr>
        <w:t xml:space="preserve"> </w:t>
      </w:r>
    </w:p>
    <w:p w:rsidR="007A4B76" w:rsidRPr="00DD7882" w:rsidRDefault="00184DF7" w:rsidP="0060563F">
      <w:pPr>
        <w:spacing w:before="240" w:line="240" w:lineRule="auto"/>
        <w:jc w:val="both"/>
        <w:rPr>
          <w:rFonts w:ascii="Times New Roman" w:hAnsi="Times New Roman" w:cs="Times New Roman"/>
          <w:sz w:val="24"/>
          <w:szCs w:val="24"/>
        </w:rPr>
      </w:pPr>
      <w:r w:rsidRPr="00DD7882">
        <w:rPr>
          <w:rFonts w:ascii="Times New Roman" w:hAnsi="Times New Roman" w:cs="Times New Roman"/>
          <w:b/>
          <w:sz w:val="24"/>
          <w:szCs w:val="24"/>
        </w:rPr>
        <w:t>12</w:t>
      </w:r>
      <w:r w:rsidR="007A4B76" w:rsidRPr="00DD7882">
        <w:rPr>
          <w:rFonts w:ascii="Times New Roman" w:hAnsi="Times New Roman" w:cs="Times New Roman"/>
          <w:b/>
          <w:sz w:val="24"/>
          <w:szCs w:val="24"/>
        </w:rPr>
        <w:t xml:space="preserve">. </w:t>
      </w:r>
      <w:r w:rsidR="00096962">
        <w:rPr>
          <w:rFonts w:ascii="Times New Roman" w:hAnsi="Times New Roman" w:cs="Times New Roman"/>
          <w:b/>
          <w:sz w:val="24"/>
          <w:szCs w:val="24"/>
        </w:rPr>
        <w:t>E</w:t>
      </w:r>
      <w:r w:rsidR="00096962" w:rsidRPr="00DD7882">
        <w:rPr>
          <w:rFonts w:ascii="Times New Roman" w:hAnsi="Times New Roman" w:cs="Times New Roman"/>
          <w:b/>
          <w:sz w:val="24"/>
          <w:szCs w:val="24"/>
        </w:rPr>
        <w:t>xecution</w:t>
      </w:r>
      <w:r w:rsidR="007A4B76" w:rsidRPr="00DD7882">
        <w:rPr>
          <w:rFonts w:ascii="Times New Roman" w:hAnsi="Times New Roman" w:cs="Times New Roman"/>
          <w:b/>
          <w:sz w:val="24"/>
          <w:szCs w:val="24"/>
        </w:rPr>
        <w:t xml:space="preserve"> of the Resolution Plan-</w:t>
      </w:r>
      <w:r w:rsidR="007A4B76" w:rsidRPr="00DD7882">
        <w:rPr>
          <w:rFonts w:ascii="Times New Roman" w:hAnsi="Times New Roman" w:cs="Times New Roman"/>
          <w:sz w:val="24"/>
          <w:szCs w:val="24"/>
        </w:rPr>
        <w:t xml:space="preserve"> </w:t>
      </w:r>
    </w:p>
    <w:p w:rsidR="007A4B76" w:rsidRPr="00DD7882" w:rsidRDefault="007A4B76" w:rsidP="0060563F">
      <w:pPr>
        <w:spacing w:before="240" w:line="240" w:lineRule="auto"/>
        <w:jc w:val="both"/>
        <w:rPr>
          <w:rFonts w:ascii="SabonLTStd-Roman" w:hAnsi="SabonLTStd-Roman" w:cs="SabonLTStd-Roman"/>
          <w:color w:val="000000"/>
          <w:sz w:val="24"/>
          <w:szCs w:val="24"/>
        </w:rPr>
      </w:pPr>
      <w:r w:rsidRPr="00DD7882">
        <w:rPr>
          <w:rFonts w:ascii="Times New Roman" w:hAnsi="Times New Roman" w:cs="Times New Roman"/>
          <w:sz w:val="24"/>
          <w:szCs w:val="24"/>
        </w:rPr>
        <w:t>Both the Act and the Regulations have given importance to the implementation of plan</w:t>
      </w:r>
      <w:r w:rsidR="0068450D" w:rsidRPr="00DD7882">
        <w:rPr>
          <w:rFonts w:ascii="Times New Roman" w:hAnsi="Times New Roman" w:cs="Times New Roman"/>
          <w:sz w:val="24"/>
          <w:szCs w:val="24"/>
        </w:rPr>
        <w:t>.</w:t>
      </w:r>
      <w:r w:rsidRPr="00DD7882">
        <w:rPr>
          <w:rFonts w:ascii="Times New Roman" w:hAnsi="Times New Roman" w:cs="Times New Roman"/>
          <w:sz w:val="24"/>
          <w:szCs w:val="24"/>
        </w:rPr>
        <w:t xml:space="preserve"> </w:t>
      </w:r>
      <w:r w:rsidR="0068450D" w:rsidRPr="00DD7882">
        <w:rPr>
          <w:rFonts w:ascii="Times New Roman" w:hAnsi="Times New Roman" w:cs="Times New Roman"/>
          <w:sz w:val="24"/>
          <w:szCs w:val="24"/>
        </w:rPr>
        <w:t>Earlier, t</w:t>
      </w:r>
      <w:r w:rsidRPr="00DD7882">
        <w:rPr>
          <w:rFonts w:ascii="Times New Roman" w:hAnsi="Times New Roman" w:cs="Times New Roman"/>
          <w:sz w:val="24"/>
          <w:szCs w:val="24"/>
        </w:rPr>
        <w:t xml:space="preserve">here </w:t>
      </w:r>
      <w:r w:rsidR="0068450D" w:rsidRPr="00DD7882">
        <w:rPr>
          <w:rFonts w:ascii="Times New Roman" w:hAnsi="Times New Roman" w:cs="Times New Roman"/>
          <w:sz w:val="24"/>
          <w:szCs w:val="24"/>
        </w:rPr>
        <w:t>were</w:t>
      </w:r>
      <w:r w:rsidRPr="00DD7882">
        <w:rPr>
          <w:rFonts w:ascii="Times New Roman" w:hAnsi="Times New Roman" w:cs="Times New Roman"/>
          <w:sz w:val="24"/>
          <w:szCs w:val="24"/>
        </w:rPr>
        <w:t xml:space="preserve"> cases where, after </w:t>
      </w:r>
      <w:r w:rsidR="00982FBE" w:rsidRPr="00DD7882">
        <w:rPr>
          <w:rFonts w:ascii="Times New Roman" w:hAnsi="Times New Roman" w:cs="Times New Roman"/>
          <w:sz w:val="24"/>
          <w:szCs w:val="24"/>
        </w:rPr>
        <w:t xml:space="preserve">approval of </w:t>
      </w:r>
      <w:r w:rsidRPr="00DD7882">
        <w:rPr>
          <w:rFonts w:ascii="Times New Roman" w:hAnsi="Times New Roman" w:cs="Times New Roman"/>
          <w:sz w:val="24"/>
          <w:szCs w:val="24"/>
        </w:rPr>
        <w:t>application</w:t>
      </w:r>
      <w:r w:rsidR="002C16BF" w:rsidRPr="00DD7882">
        <w:rPr>
          <w:rFonts w:ascii="Times New Roman" w:hAnsi="Times New Roman" w:cs="Times New Roman"/>
          <w:sz w:val="24"/>
          <w:szCs w:val="24"/>
        </w:rPr>
        <w:t>,</w:t>
      </w:r>
      <w:r w:rsidRPr="00DD7882">
        <w:rPr>
          <w:rFonts w:ascii="Times New Roman" w:hAnsi="Times New Roman" w:cs="Times New Roman"/>
          <w:sz w:val="24"/>
          <w:szCs w:val="24"/>
        </w:rPr>
        <w:t xml:space="preserve"> the applicant were withdrawing  from plan. In order to get rid of such situation Regulation 39(4) of CIRP Regulation provides for submission of performance security along with the resolution plan along with the evidence of security. While under </w:t>
      </w:r>
      <w:r w:rsidRPr="00DD7882">
        <w:rPr>
          <w:rFonts w:ascii="SabonLTStd-Roman" w:hAnsi="SabonLTStd-Roman" w:cs="SabonLTStd-Roman"/>
          <w:color w:val="000000"/>
          <w:sz w:val="24"/>
          <w:szCs w:val="24"/>
        </w:rPr>
        <w:t xml:space="preserve">Regulation 38(1B) of </w:t>
      </w:r>
      <w:r w:rsidRPr="00DD7882">
        <w:rPr>
          <w:rFonts w:ascii="Times New Roman" w:hAnsi="Times New Roman" w:cs="Times New Roman"/>
          <w:sz w:val="24"/>
          <w:szCs w:val="24"/>
        </w:rPr>
        <w:t>CIRP Regulation</w:t>
      </w:r>
      <w:r w:rsidRPr="00DD7882">
        <w:rPr>
          <w:rFonts w:ascii="SabonLTStd-Roman" w:hAnsi="SabonLTStd-Roman" w:cs="SabonLTStd-Roman"/>
          <w:color w:val="000000"/>
          <w:sz w:val="24"/>
          <w:szCs w:val="24"/>
        </w:rPr>
        <w:t>, it is further stated that the plan should consist of a proclamation about failure or no failure of performance on the part of parties.</w:t>
      </w:r>
    </w:p>
    <w:p w:rsidR="007A4B76" w:rsidRDefault="007A4B76" w:rsidP="0060563F">
      <w:pPr>
        <w:spacing w:before="240" w:line="240" w:lineRule="auto"/>
        <w:jc w:val="both"/>
        <w:rPr>
          <w:rFonts w:ascii="Times New Roman" w:hAnsi="Times New Roman" w:cs="Times New Roman"/>
          <w:sz w:val="24"/>
          <w:szCs w:val="24"/>
        </w:rPr>
      </w:pPr>
      <w:r w:rsidRPr="00DD7882">
        <w:rPr>
          <w:rFonts w:ascii="SabonLTStd-Roman" w:hAnsi="SabonLTStd-Roman" w:cs="SabonLTStd-Roman"/>
          <w:color w:val="000000"/>
          <w:sz w:val="24"/>
          <w:szCs w:val="24"/>
        </w:rPr>
        <w:t xml:space="preserve">If a creditor is affected by non </w:t>
      </w:r>
      <w:r w:rsidR="005958F0" w:rsidRPr="00DD7882">
        <w:rPr>
          <w:rFonts w:ascii="SabonLTStd-Roman" w:hAnsi="SabonLTStd-Roman" w:cs="SabonLTStd-Roman"/>
          <w:color w:val="000000"/>
          <w:sz w:val="24"/>
          <w:szCs w:val="24"/>
        </w:rPr>
        <w:t>execution</w:t>
      </w:r>
      <w:r w:rsidRPr="00DD7882">
        <w:rPr>
          <w:rFonts w:ascii="SabonLTStd-Roman" w:hAnsi="SabonLTStd-Roman" w:cs="SabonLTStd-Roman"/>
          <w:color w:val="000000"/>
          <w:sz w:val="24"/>
          <w:szCs w:val="24"/>
        </w:rPr>
        <w:t xml:space="preserve"> of the plan may apply to the adjudication authority and it may allow the extension of time for the implementation of plan.</w:t>
      </w:r>
      <w:r w:rsidRPr="00DD7882">
        <w:rPr>
          <w:rStyle w:val="FootnoteReference"/>
          <w:rFonts w:ascii="SabonLTStd-Roman" w:hAnsi="SabonLTStd-Roman" w:cs="SabonLTStd-Roman"/>
          <w:color w:val="000000"/>
          <w:sz w:val="24"/>
          <w:szCs w:val="24"/>
        </w:rPr>
        <w:footnoteReference w:id="38"/>
      </w:r>
      <w:r w:rsidRPr="00DD7882">
        <w:rPr>
          <w:rFonts w:ascii="SabonLTStd-Roman" w:hAnsi="SabonLTStd-Roman" w:cs="SabonLTStd-Roman"/>
          <w:color w:val="000000"/>
          <w:sz w:val="24"/>
          <w:szCs w:val="24"/>
        </w:rPr>
        <w:t xml:space="preserve"> When the order of </w:t>
      </w:r>
      <w:r w:rsidRPr="00DD7882">
        <w:rPr>
          <w:rFonts w:ascii="SabonLTStd-Roman" w:hAnsi="SabonLTStd-Roman" w:cs="SabonLTStd-Roman"/>
          <w:color w:val="000000"/>
          <w:sz w:val="24"/>
          <w:szCs w:val="24"/>
        </w:rPr>
        <w:lastRenderedPageBreak/>
        <w:t>adjudicating authority is disregarded by the debtor, then those affected by such disregard may apply for liquidation under section 33(3) of Code</w:t>
      </w:r>
    </w:p>
    <w:p w:rsidR="007A4B76" w:rsidRPr="006B1D62" w:rsidRDefault="00BD1551"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7A4B76">
        <w:rPr>
          <w:rFonts w:ascii="Times New Roman" w:hAnsi="Times New Roman" w:cs="Times New Roman"/>
          <w:b/>
          <w:sz w:val="24"/>
          <w:szCs w:val="24"/>
        </w:rPr>
        <w:t xml:space="preserve">. </w:t>
      </w:r>
      <w:r w:rsidR="007A4B76" w:rsidRPr="006B1D62">
        <w:rPr>
          <w:rFonts w:ascii="Times New Roman" w:hAnsi="Times New Roman" w:cs="Times New Roman"/>
          <w:b/>
          <w:sz w:val="24"/>
          <w:szCs w:val="24"/>
        </w:rPr>
        <w:t>Liquidation</w:t>
      </w:r>
    </w:p>
    <w:p w:rsidR="00F66704"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the enactment of Code, the process of winding up and liquidation was done in accordance with the provisions of  </w:t>
      </w:r>
      <w:r w:rsidRPr="006B1D62">
        <w:rPr>
          <w:rFonts w:ascii="Times New Roman" w:hAnsi="Times New Roman" w:cs="Times New Roman"/>
          <w:sz w:val="24"/>
          <w:szCs w:val="24"/>
        </w:rPr>
        <w:t>Companies Act, 1956</w:t>
      </w:r>
      <w:r>
        <w:rPr>
          <w:rFonts w:ascii="Times New Roman" w:hAnsi="Times New Roman" w:cs="Times New Roman"/>
          <w:sz w:val="24"/>
          <w:szCs w:val="24"/>
        </w:rPr>
        <w:t xml:space="preserve">. The ground for winding of the company was its lack of ability to pay debt, as mentioned in section 433(e) of the </w:t>
      </w:r>
      <w:r w:rsidRPr="006B1D62">
        <w:rPr>
          <w:rFonts w:ascii="Times New Roman" w:hAnsi="Times New Roman" w:cs="Times New Roman"/>
          <w:sz w:val="24"/>
          <w:szCs w:val="24"/>
        </w:rPr>
        <w:t>Companies Act, 1956</w:t>
      </w:r>
      <w:r>
        <w:rPr>
          <w:rFonts w:ascii="Times New Roman" w:hAnsi="Times New Roman" w:cs="Times New Roman"/>
          <w:sz w:val="24"/>
          <w:szCs w:val="24"/>
        </w:rPr>
        <w:t xml:space="preserve">. However, with enactment of Code, when there is default, it is mandatory for a debtor to enter the process of corporate insolvency resolution and </w:t>
      </w:r>
      <w:r w:rsidR="00AF5C4C">
        <w:rPr>
          <w:rFonts w:ascii="Times New Roman" w:hAnsi="Times New Roman" w:cs="Times New Roman"/>
          <w:sz w:val="24"/>
          <w:szCs w:val="24"/>
        </w:rPr>
        <w:t>if</w:t>
      </w:r>
      <w:r>
        <w:rPr>
          <w:rFonts w:ascii="Times New Roman" w:hAnsi="Times New Roman" w:cs="Times New Roman"/>
          <w:sz w:val="24"/>
          <w:szCs w:val="24"/>
        </w:rPr>
        <w:t xml:space="preserve"> unable to be revived through a resolution then liquidate the same. It can be said that the process of liquidation begins when the process of insolvency resolution has been completed and no plan has been approved. </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term liquidation can be defined as ending the life of company. After this company shall be under administration of liquidator and all its decision s</w:t>
      </w:r>
      <w:r w:rsidR="00B30DA8">
        <w:rPr>
          <w:rFonts w:ascii="Times New Roman" w:hAnsi="Times New Roman" w:cs="Times New Roman"/>
          <w:sz w:val="24"/>
          <w:szCs w:val="24"/>
        </w:rPr>
        <w:t xml:space="preserve">hall be taken by the liquidator </w:t>
      </w:r>
      <w:r>
        <w:rPr>
          <w:rFonts w:ascii="Times New Roman" w:hAnsi="Times New Roman" w:cs="Times New Roman"/>
          <w:sz w:val="24"/>
          <w:szCs w:val="24"/>
        </w:rPr>
        <w:t>to secure the interest of the creditors and stakeholders of the corporate debtor.</w:t>
      </w:r>
    </w:p>
    <w:p w:rsidR="007A4B76" w:rsidRPr="006B1D62" w:rsidRDefault="008A0008" w:rsidP="0060563F">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7A4B76">
        <w:rPr>
          <w:rFonts w:ascii="Times New Roman" w:hAnsi="Times New Roman" w:cs="Times New Roman"/>
          <w:b/>
          <w:sz w:val="24"/>
          <w:szCs w:val="24"/>
        </w:rPr>
        <w:t xml:space="preserve">.1. </w:t>
      </w:r>
      <w:r w:rsidR="007A4B76" w:rsidRPr="006B1D62">
        <w:rPr>
          <w:rFonts w:ascii="Times New Roman" w:hAnsi="Times New Roman" w:cs="Times New Roman"/>
          <w:b/>
          <w:sz w:val="24"/>
          <w:szCs w:val="24"/>
        </w:rPr>
        <w:t>Grounds for Initiating</w:t>
      </w:r>
    </w:p>
    <w:p w:rsidR="00661C75"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Liquidation of a corporate debtor begins when the corporate debtor has made a default and the process of insolvency resolution has been undergone. </w:t>
      </w:r>
      <w:r w:rsidR="00BC247C">
        <w:rPr>
          <w:rFonts w:ascii="Times New Roman" w:hAnsi="Times New Roman" w:cs="Times New Roman"/>
          <w:sz w:val="24"/>
          <w:szCs w:val="24"/>
        </w:rPr>
        <w:t>If g</w:t>
      </w:r>
      <w:r>
        <w:rPr>
          <w:rFonts w:ascii="Times New Roman" w:hAnsi="Times New Roman" w:cs="Times New Roman"/>
          <w:sz w:val="24"/>
          <w:szCs w:val="24"/>
        </w:rPr>
        <w:t>rounds for liquidation mentioned under section 33 of Code</w:t>
      </w:r>
      <w:r w:rsidR="00BC247C">
        <w:rPr>
          <w:rFonts w:ascii="Times New Roman" w:hAnsi="Times New Roman" w:cs="Times New Roman"/>
          <w:sz w:val="24"/>
          <w:szCs w:val="24"/>
        </w:rPr>
        <w:t xml:space="preserve"> are fulfilled then </w:t>
      </w:r>
      <w:r>
        <w:rPr>
          <w:rFonts w:ascii="Times New Roman" w:hAnsi="Times New Roman" w:cs="Times New Roman"/>
          <w:sz w:val="24"/>
          <w:szCs w:val="24"/>
        </w:rPr>
        <w:t>the adjudicating authority</w:t>
      </w:r>
      <w:r w:rsidR="00BC247C">
        <w:rPr>
          <w:rFonts w:ascii="Times New Roman" w:hAnsi="Times New Roman" w:cs="Times New Roman"/>
          <w:sz w:val="24"/>
          <w:szCs w:val="24"/>
        </w:rPr>
        <w:t xml:space="preserve"> </w:t>
      </w:r>
      <w:r>
        <w:rPr>
          <w:rFonts w:ascii="Times New Roman" w:hAnsi="Times New Roman" w:cs="Times New Roman"/>
          <w:sz w:val="24"/>
          <w:szCs w:val="24"/>
        </w:rPr>
        <w:t>shall pass the order to liquidate the debtor, issuing public announcement for the same and sending the order to the authority to which the debtor is registered.</w:t>
      </w:r>
    </w:p>
    <w:p w:rsidR="007A4B76" w:rsidRPr="002F07BE" w:rsidRDefault="007A4B76" w:rsidP="0060563F">
      <w:pPr>
        <w:spacing w:before="240" w:line="240" w:lineRule="auto"/>
        <w:jc w:val="both"/>
        <w:rPr>
          <w:rFonts w:ascii="Times New Roman" w:hAnsi="Times New Roman" w:cs="Times New Roman"/>
          <w:sz w:val="24"/>
          <w:szCs w:val="24"/>
        </w:rPr>
      </w:pPr>
      <w:r w:rsidRPr="00661C75">
        <w:rPr>
          <w:rFonts w:ascii="Times New Roman" w:hAnsi="Times New Roman" w:cs="Times New Roman"/>
          <w:sz w:val="24"/>
          <w:szCs w:val="24"/>
        </w:rPr>
        <w:t xml:space="preserve">When the committee of creditors with 66% of majority decides </w:t>
      </w:r>
      <w:r w:rsidR="00661C75">
        <w:rPr>
          <w:rFonts w:ascii="Times New Roman" w:hAnsi="Times New Roman" w:cs="Times New Roman"/>
          <w:sz w:val="24"/>
          <w:szCs w:val="24"/>
        </w:rPr>
        <w:t>to liquidate</w:t>
      </w:r>
      <w:r w:rsidRPr="00661C75">
        <w:rPr>
          <w:rFonts w:ascii="Times New Roman" w:hAnsi="Times New Roman" w:cs="Times New Roman"/>
          <w:sz w:val="24"/>
          <w:szCs w:val="24"/>
        </w:rPr>
        <w:t xml:space="preserve"> the corporate and the same has been communicated to the adjudicating authority before the approval of the resolution plan by the resolution professional, then the order of liquidation shall be passed by the authority.</w:t>
      </w:r>
      <w:r w:rsidRPr="00661C75">
        <w:rPr>
          <w:rStyle w:val="FootnoteReference"/>
          <w:rFonts w:ascii="Times New Roman" w:hAnsi="Times New Roman" w:cs="Times New Roman"/>
          <w:sz w:val="24"/>
          <w:szCs w:val="24"/>
        </w:rPr>
        <w:footnoteReference w:id="39"/>
      </w:r>
      <w:r w:rsidRPr="00661C75">
        <w:rPr>
          <w:rFonts w:ascii="Times New Roman" w:hAnsi="Times New Roman" w:cs="Times New Roman"/>
          <w:sz w:val="24"/>
          <w:szCs w:val="24"/>
        </w:rPr>
        <w:t xml:space="preserve"> </w:t>
      </w:r>
      <w:r w:rsidRPr="002F07BE">
        <w:rPr>
          <w:rFonts w:ascii="Times New Roman" w:hAnsi="Times New Roman" w:cs="Times New Roman"/>
          <w:sz w:val="24"/>
          <w:szCs w:val="24"/>
        </w:rPr>
        <w:t xml:space="preserve">Any person other than the debtor whose interest has been affected by the infringement </w:t>
      </w:r>
      <w:r w:rsidR="00A811F8">
        <w:rPr>
          <w:rFonts w:ascii="Times New Roman" w:hAnsi="Times New Roman" w:cs="Times New Roman"/>
          <w:sz w:val="24"/>
          <w:szCs w:val="24"/>
        </w:rPr>
        <w:t>of</w:t>
      </w:r>
      <w:r w:rsidRPr="002F07BE">
        <w:rPr>
          <w:rFonts w:ascii="Times New Roman" w:hAnsi="Times New Roman" w:cs="Times New Roman"/>
          <w:sz w:val="24"/>
          <w:szCs w:val="24"/>
        </w:rPr>
        <w:t xml:space="preserve"> plan, may </w:t>
      </w:r>
      <w:r w:rsidR="00A811F8">
        <w:rPr>
          <w:rFonts w:ascii="Times New Roman" w:hAnsi="Times New Roman" w:cs="Times New Roman"/>
          <w:sz w:val="24"/>
          <w:szCs w:val="24"/>
        </w:rPr>
        <w:t xml:space="preserve">file an </w:t>
      </w:r>
      <w:r w:rsidR="00A811F8" w:rsidRPr="00A811F8">
        <w:rPr>
          <w:rFonts w:ascii="Times New Roman" w:hAnsi="Times New Roman" w:cs="Times New Roman"/>
          <w:sz w:val="24"/>
          <w:szCs w:val="24"/>
        </w:rPr>
        <w:t xml:space="preserve">application </w:t>
      </w:r>
      <w:r w:rsidRPr="002F07BE">
        <w:rPr>
          <w:rFonts w:ascii="Times New Roman" w:hAnsi="Times New Roman" w:cs="Times New Roman"/>
          <w:sz w:val="24"/>
          <w:szCs w:val="24"/>
        </w:rPr>
        <w:t>to liquidate the debtor. If the authority has sufficient reason to believe that infringement has been made by debtor, then it shall pass the order to liquidate the same.</w:t>
      </w:r>
      <w:r w:rsidRPr="002F07BE">
        <w:rPr>
          <w:rStyle w:val="FootnoteReference"/>
          <w:rFonts w:ascii="Times New Roman" w:hAnsi="Times New Roman" w:cs="Times New Roman"/>
          <w:sz w:val="24"/>
          <w:szCs w:val="24"/>
        </w:rPr>
        <w:footnoteReference w:id="40"/>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main aim of the Code is to save the firms who could be saved and liquidate those firms which are not viable. The creditors or the stakeholders under the Code are not given the opportunity to make an application to liquidate the firm. They can only make an application to initiate the insolvency resolution process. If this process fails to result into a resolution plan then only order for liquidation is passed.</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term liquidation has not been defined under Code but it defines the term winding up while specifying the amendment to Companies Act, 2013</w:t>
      </w:r>
      <w:r w:rsidR="00887597">
        <w:rPr>
          <w:rFonts w:ascii="Times New Roman" w:hAnsi="Times New Roman" w:cs="Times New Roman"/>
          <w:sz w:val="24"/>
          <w:szCs w:val="24"/>
        </w:rPr>
        <w:t xml:space="preserve"> under </w:t>
      </w:r>
      <w:r w:rsidR="00887597" w:rsidRPr="00887597">
        <w:rPr>
          <w:rFonts w:ascii="Times New Roman" w:hAnsi="Times New Roman" w:cs="Times New Roman"/>
          <w:sz w:val="24"/>
          <w:szCs w:val="24"/>
        </w:rPr>
        <w:t>section 2(94A)</w:t>
      </w:r>
      <w:r w:rsidR="00C219DD">
        <w:rPr>
          <w:rFonts w:ascii="Times New Roman" w:hAnsi="Times New Roman" w:cs="Times New Roman"/>
          <w:sz w:val="24"/>
          <w:szCs w:val="24"/>
        </w:rPr>
        <w:t>.</w:t>
      </w:r>
      <w:r>
        <w:rPr>
          <w:rFonts w:ascii="Times New Roman" w:hAnsi="Times New Roman" w:cs="Times New Roman"/>
          <w:sz w:val="24"/>
          <w:szCs w:val="24"/>
        </w:rPr>
        <w:t xml:space="preserve"> The term winding up is inclusive of term liquidation. But the grounds for winding up in Companies Act, 2013 are unlike from those of liquidation under Code.</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When order of liquidation has been passed by the authority no suit or proceedings can began against the debtor, there will be bar on initiation of the same.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The exception to initiation of legal proceeding is given under section 33(6) of the Code.</w:t>
      </w:r>
    </w:p>
    <w:p w:rsidR="007A4B76" w:rsidRDefault="007A4B76" w:rsidP="0060563F">
      <w:pPr>
        <w:spacing w:before="240" w:line="240" w:lineRule="auto"/>
        <w:jc w:val="both"/>
        <w:rPr>
          <w:rFonts w:ascii="Times New Roman" w:hAnsi="Times New Roman" w:cs="Times New Roman"/>
          <w:sz w:val="24"/>
          <w:szCs w:val="24"/>
        </w:rPr>
      </w:pPr>
      <w:r w:rsidRPr="006B1D62">
        <w:rPr>
          <w:rFonts w:ascii="Times New Roman" w:hAnsi="Times New Roman" w:cs="Times New Roman"/>
          <w:sz w:val="24"/>
          <w:szCs w:val="24"/>
        </w:rPr>
        <w:t>In</w:t>
      </w:r>
      <w:r>
        <w:rPr>
          <w:rFonts w:ascii="Times New Roman" w:hAnsi="Times New Roman" w:cs="Times New Roman"/>
          <w:sz w:val="24"/>
          <w:szCs w:val="24"/>
        </w:rPr>
        <w:t xml:space="preserve"> the case of</w:t>
      </w:r>
      <w:r w:rsidRPr="006B1D62">
        <w:rPr>
          <w:rFonts w:ascii="Times New Roman" w:hAnsi="Times New Roman" w:cs="Times New Roman"/>
          <w:sz w:val="24"/>
          <w:szCs w:val="24"/>
        </w:rPr>
        <w:t xml:space="preserve"> </w:t>
      </w:r>
      <w:r w:rsidRPr="006B1D62">
        <w:rPr>
          <w:rFonts w:ascii="Times New Roman" w:hAnsi="Times New Roman" w:cs="Times New Roman"/>
          <w:b/>
          <w:sz w:val="24"/>
          <w:szCs w:val="24"/>
        </w:rPr>
        <w:t>Reliance India Power Fund, Reliance Capital Vs. Mr. Raj Kumar Ralhan</w:t>
      </w:r>
      <w:r>
        <w:rPr>
          <w:rFonts w:ascii="Times New Roman" w:hAnsi="Times New Roman" w:cs="Times New Roman"/>
          <w:b/>
          <w:sz w:val="24"/>
          <w:szCs w:val="24"/>
        </w:rPr>
        <w:t>,</w:t>
      </w:r>
      <w:r w:rsidRPr="00A95983">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it was held by NCLAT that liquidator can decide not to defend any suit or proceeding initiated against the corporate debtor and he cannot be forced to submit to the </w:t>
      </w:r>
      <w:r w:rsidRPr="00A95983">
        <w:rPr>
          <w:rFonts w:ascii="Times New Roman" w:hAnsi="Times New Roman" w:cs="Times New Roman"/>
          <w:sz w:val="24"/>
          <w:szCs w:val="24"/>
        </w:rPr>
        <w:t xml:space="preserve"> </w:t>
      </w:r>
      <w:r>
        <w:rPr>
          <w:rFonts w:ascii="Times New Roman" w:hAnsi="Times New Roman" w:cs="Times New Roman"/>
          <w:sz w:val="24"/>
          <w:szCs w:val="24"/>
        </w:rPr>
        <w:t>action initiated by the applicant.</w:t>
      </w:r>
    </w:p>
    <w:p w:rsidR="007A4B76" w:rsidRPr="006B1D62" w:rsidRDefault="00D91AAC"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13.2</w:t>
      </w:r>
      <w:r w:rsidR="007A4B76">
        <w:rPr>
          <w:rFonts w:ascii="Times New Roman" w:hAnsi="Times New Roman" w:cs="Times New Roman"/>
          <w:b/>
          <w:sz w:val="24"/>
          <w:szCs w:val="24"/>
        </w:rPr>
        <w:t>. P</w:t>
      </w:r>
      <w:r w:rsidR="007A4B76" w:rsidRPr="006B1D62">
        <w:rPr>
          <w:rFonts w:ascii="Times New Roman" w:hAnsi="Times New Roman" w:cs="Times New Roman"/>
          <w:b/>
          <w:sz w:val="24"/>
          <w:szCs w:val="24"/>
        </w:rPr>
        <w:t>rocedure of liquidation</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w:t>
      </w:r>
      <w:r w:rsidR="006D5558">
        <w:rPr>
          <w:rFonts w:ascii="Times New Roman" w:hAnsi="Times New Roman" w:cs="Times New Roman"/>
          <w:sz w:val="24"/>
          <w:szCs w:val="24"/>
        </w:rPr>
        <w:t>liquidation should</w:t>
      </w:r>
      <w:r>
        <w:rPr>
          <w:rFonts w:ascii="Times New Roman" w:hAnsi="Times New Roman" w:cs="Times New Roman"/>
          <w:sz w:val="24"/>
          <w:szCs w:val="24"/>
        </w:rPr>
        <w:t xml:space="preserve"> complete in one year</w:t>
      </w:r>
      <w:r w:rsidR="006D5558">
        <w:rPr>
          <w:rFonts w:ascii="Times New Roman" w:hAnsi="Times New Roman" w:cs="Times New Roman"/>
          <w:sz w:val="24"/>
          <w:szCs w:val="24"/>
        </w:rPr>
        <w:t>,</w:t>
      </w:r>
      <w:r>
        <w:rPr>
          <w:rFonts w:ascii="Times New Roman" w:hAnsi="Times New Roman" w:cs="Times New Roman"/>
          <w:sz w:val="24"/>
          <w:szCs w:val="24"/>
        </w:rPr>
        <w:t xml:space="preserve"> to be calculated from the date of commencement of process of liquidation. The liquidator shall form an estate which will be called as liquidation estate.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7A4B76" w:rsidRPr="00C67032"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assets which could not be sold because of being different in nature shall be allocated to the stakeholders equally. The liquidator may be sought to provide financial information to the creditors which is related to debtor in the manner which is precisely mentioned under section 37(2) of Code. </w:t>
      </w:r>
    </w:p>
    <w:p w:rsidR="007A4B76" w:rsidRPr="006B1D62" w:rsidRDefault="007A4B76" w:rsidP="0060563F">
      <w:pPr>
        <w:pStyle w:val="NormalWeb"/>
        <w:shd w:val="clear" w:color="auto" w:fill="FFFFFF"/>
        <w:spacing w:before="240" w:beforeAutospacing="0"/>
        <w:jc w:val="both"/>
      </w:pPr>
      <w:r>
        <w:t>The claims of the creditor shall be received within 30 of beginning of liquidation.</w:t>
      </w:r>
      <w:r>
        <w:rPr>
          <w:rStyle w:val="FootnoteReference"/>
        </w:rPr>
        <w:footnoteReference w:id="44"/>
      </w:r>
      <w:r>
        <w:t xml:space="preserve"> The creditor may submit claim along with providing the evidence of claim with </w:t>
      </w:r>
      <w:r w:rsidRPr="006B1D62">
        <w:t>information utility</w:t>
      </w:r>
      <w:r>
        <w:t>. If such claim is not in the records of information utility, then the creditor must, along with the claim submit the documents in support of the claim.</w:t>
      </w:r>
      <w:r>
        <w:rPr>
          <w:rStyle w:val="FootnoteReference"/>
        </w:rPr>
        <w:footnoteReference w:id="45"/>
      </w:r>
      <w:r>
        <w:t xml:space="preserve"> Section 38(3) of Code mentions about submission of claim by the operational creditor in the approach mentioned by the Board. If the </w:t>
      </w:r>
      <w:r w:rsidRPr="006B1D62">
        <w:t>creditor who is partly a financial creditor and partly an operational creditor shall submit claims to the liquidator to the extent of his financial debt in the manner provided in section 38(2) and to the extent of his operational debt under section 38(3) of Code.</w:t>
      </w:r>
    </w:p>
    <w:p w:rsidR="007A4B76" w:rsidRDefault="001F4899"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7A4B76">
        <w:rPr>
          <w:rFonts w:ascii="Times New Roman" w:hAnsi="Times New Roman" w:cs="Times New Roman"/>
          <w:b/>
          <w:sz w:val="24"/>
          <w:szCs w:val="24"/>
        </w:rPr>
        <w:t xml:space="preserve">. </w:t>
      </w:r>
      <w:r w:rsidR="007A4B76" w:rsidRPr="002D347E">
        <w:rPr>
          <w:rFonts w:ascii="Times New Roman" w:hAnsi="Times New Roman" w:cs="Times New Roman"/>
          <w:b/>
          <w:sz w:val="24"/>
          <w:szCs w:val="24"/>
        </w:rPr>
        <w:t>Problems And Challenges</w:t>
      </w:r>
      <w:r w:rsidR="007A4B76">
        <w:rPr>
          <w:rFonts w:ascii="Times New Roman" w:hAnsi="Times New Roman" w:cs="Times New Roman"/>
          <w:b/>
          <w:sz w:val="24"/>
          <w:szCs w:val="24"/>
        </w:rPr>
        <w:t>-</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Various challenges have been faced by various organs of the Code and these challenges make it difficult for them to perform the function freely and in time bound manner. The important task here is complete the process in the time frame and it can be done if the information is readily available to creditors and such information need to accurate also. However, lack of information has been obstruction in recovery of dues. Also, it is seen that, there reluctance in sharing the information. Also, the information utility does not consolidate the existing repository.</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IBC does not favor the possession of debtor on the assets when the CIRP has been initiated. Insolvency professional is vested with the powers of the corporate debtor's board. This results in the conflict arising out of loyalty among the employees of the corporate debtor. As, they all have this belief that the insolvency professional is for time being and the promoters will be back in the </w:t>
      </w:r>
      <w:r>
        <w:rPr>
          <w:rFonts w:ascii="Times New Roman" w:hAnsi="Times New Roman" w:cs="Times New Roman"/>
          <w:sz w:val="24"/>
          <w:szCs w:val="24"/>
        </w:rPr>
        <w:lastRenderedPageBreak/>
        <w:t>board of directors and because of this the information required by insolvency professional is not gathered by him. This way the employees remain loyal toward corporate debtor.</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challenge faced is that, it is not necessary that creditors will comply </w:t>
      </w:r>
      <w:r w:rsidR="00F97296">
        <w:rPr>
          <w:rFonts w:ascii="Times New Roman" w:hAnsi="Times New Roman" w:cs="Times New Roman"/>
          <w:sz w:val="24"/>
          <w:szCs w:val="24"/>
        </w:rPr>
        <w:t>provisions of moratorium, t</w:t>
      </w:r>
      <w:r>
        <w:rPr>
          <w:rFonts w:ascii="Times New Roman" w:hAnsi="Times New Roman" w:cs="Times New Roman"/>
          <w:sz w:val="24"/>
          <w:szCs w:val="24"/>
        </w:rPr>
        <w:t>hey may initiate suits and proceeding against corporate debtor. There is need to create awareness about moratorium period.</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Also, many times there is lack of sufficient fund to pay the cost of insolvency professional and he has to raise finance to meet the cost. The insolvency professional has to face various challenges while exercising control over corporate debtor. It would be less difficult to arrange funds from the existing creditors but the outside financers would not wish to enter into it, because of current situation of corporate debtor.</w:t>
      </w:r>
    </w:p>
    <w:p w:rsidR="007A4B76" w:rsidRPr="002D347E" w:rsidRDefault="001F4899"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7A4B76">
        <w:rPr>
          <w:rFonts w:ascii="Times New Roman" w:hAnsi="Times New Roman" w:cs="Times New Roman"/>
          <w:b/>
          <w:sz w:val="24"/>
          <w:szCs w:val="24"/>
        </w:rPr>
        <w:t xml:space="preserve">. </w:t>
      </w:r>
      <w:r w:rsidR="007A4B76" w:rsidRPr="002D347E">
        <w:rPr>
          <w:rFonts w:ascii="Times New Roman" w:hAnsi="Times New Roman" w:cs="Times New Roman"/>
          <w:b/>
          <w:sz w:val="24"/>
          <w:szCs w:val="24"/>
        </w:rPr>
        <w:t xml:space="preserve">Whether </w:t>
      </w:r>
      <w:r w:rsidR="007A4B76">
        <w:rPr>
          <w:rFonts w:ascii="Times New Roman" w:hAnsi="Times New Roman" w:cs="Times New Roman"/>
          <w:b/>
          <w:sz w:val="24"/>
          <w:szCs w:val="24"/>
        </w:rPr>
        <w:t>the Code is</w:t>
      </w:r>
      <w:r w:rsidR="007A4B76" w:rsidRPr="002D347E">
        <w:rPr>
          <w:rFonts w:ascii="Times New Roman" w:hAnsi="Times New Roman" w:cs="Times New Roman"/>
          <w:b/>
          <w:sz w:val="24"/>
          <w:szCs w:val="24"/>
        </w:rPr>
        <w:t xml:space="preserve"> Effective</w:t>
      </w:r>
      <w:r w:rsidR="007A4B76">
        <w:rPr>
          <w:rFonts w:ascii="Times New Roman" w:hAnsi="Times New Roman" w:cs="Times New Roman"/>
          <w:b/>
          <w:sz w:val="24"/>
          <w:szCs w:val="24"/>
        </w:rPr>
        <w:t>?-</w:t>
      </w:r>
    </w:p>
    <w:p w:rsidR="007A4B76" w:rsidRDefault="007A4B76" w:rsidP="0060563F">
      <w:pPr>
        <w:pStyle w:val="NormalWeb"/>
        <w:spacing w:before="240" w:beforeAutospacing="0" w:after="0" w:afterAutospacing="0"/>
        <w:jc w:val="both"/>
        <w:textAlignment w:val="baseline"/>
        <w:rPr>
          <w:color w:val="000000"/>
        </w:rPr>
      </w:pPr>
      <w:r>
        <w:rPr>
          <w:color w:val="000000"/>
        </w:rPr>
        <w:t xml:space="preserve">The Code has helped the creditors to recover their debt. There is difference in the approach of Code to that of the legal regime which were present before its enactment. As the </w:t>
      </w:r>
      <w:r w:rsidR="00D001A9">
        <w:rPr>
          <w:color w:val="000000"/>
        </w:rPr>
        <w:t>CIRP</w:t>
      </w:r>
      <w:r>
        <w:rPr>
          <w:color w:val="000000"/>
        </w:rPr>
        <w:t xml:space="preserve"> is different from the processes which were used in the previous laws. Also there was multiplicity of laws and the result was not at all helpful in making the corporate viable. Although all the expectations from the Act has not come to reality.</w:t>
      </w:r>
    </w:p>
    <w:p w:rsidR="007A4B76" w:rsidRDefault="007A4B76" w:rsidP="0060563F">
      <w:pPr>
        <w:pStyle w:val="NormalWeb"/>
        <w:spacing w:before="240" w:beforeAutospacing="0" w:after="0" w:afterAutospacing="0"/>
        <w:jc w:val="both"/>
        <w:textAlignment w:val="baseline"/>
        <w:rPr>
          <w:color w:val="000000"/>
        </w:rPr>
      </w:pPr>
      <w:r>
        <w:rPr>
          <w:color w:val="000000"/>
        </w:rPr>
        <w:t>The Code was enacted with the motive that it would result into ultimate cure for treatment of corporate debtor. But when the market is dominated by the corporate where promoters are well settled, banks have been irresponsible in giving credits and most important corruption is rooted deeply, it was believed that new Code would be able to deceive all these.</w:t>
      </w:r>
    </w:p>
    <w:p w:rsidR="007A4B76" w:rsidRDefault="007A4B76" w:rsidP="0060563F">
      <w:pPr>
        <w:pStyle w:val="NormalWeb"/>
        <w:spacing w:before="240" w:beforeAutospacing="0" w:after="0" w:afterAutospacing="0"/>
        <w:jc w:val="both"/>
        <w:textAlignment w:val="baseline"/>
        <w:rPr>
          <w:color w:val="000000"/>
        </w:rPr>
      </w:pPr>
      <w:r>
        <w:rPr>
          <w:color w:val="000000"/>
        </w:rPr>
        <w:t>Though the Code was believed to be enacted to overcome all flaws of previous laws but there are some flaws in this Code also. As there is ambiguity with respect to liquidation process, the liquidator has been given a lot of powers, the conduct of committee of creditors. The recovery of creditors has not been sufficient in comparison to claims, specially of the banks, but the banks have been reckless in lending the credit without even verifying the documents.</w:t>
      </w:r>
    </w:p>
    <w:p w:rsidR="007A4B76" w:rsidRPr="002D347E" w:rsidRDefault="007A4B76" w:rsidP="0060563F">
      <w:pPr>
        <w:pStyle w:val="NormalWeb"/>
        <w:spacing w:before="240" w:beforeAutospacing="0" w:after="0" w:afterAutospacing="0"/>
        <w:jc w:val="both"/>
        <w:textAlignment w:val="baseline"/>
        <w:rPr>
          <w:color w:val="000000"/>
        </w:rPr>
      </w:pPr>
      <w:r>
        <w:rPr>
          <w:color w:val="000000"/>
        </w:rPr>
        <w:t xml:space="preserve">There is need to determine the value of asset on the basis of its demand. The accountability of the liquidators as well as committee of creditors is required to increased as </w:t>
      </w:r>
      <w:r w:rsidR="0040575E">
        <w:rPr>
          <w:color w:val="000000"/>
        </w:rPr>
        <w:t>it</w:t>
      </w:r>
      <w:r>
        <w:rPr>
          <w:color w:val="000000"/>
        </w:rPr>
        <w:t xml:space="preserve"> would result in betterment of interest of creditors. Also, committee of creditors should be given more power while appointing the resolution professional.</w:t>
      </w:r>
    </w:p>
    <w:p w:rsidR="007A4B76" w:rsidRDefault="001F4899" w:rsidP="0060563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7A4B76">
        <w:rPr>
          <w:rFonts w:ascii="Times New Roman" w:hAnsi="Times New Roman" w:cs="Times New Roman"/>
          <w:b/>
          <w:sz w:val="24"/>
          <w:szCs w:val="24"/>
        </w:rPr>
        <w:t xml:space="preserve">. </w:t>
      </w:r>
      <w:r w:rsidR="007A4B76" w:rsidRPr="006E36F9">
        <w:rPr>
          <w:rFonts w:ascii="Times New Roman" w:hAnsi="Times New Roman" w:cs="Times New Roman"/>
          <w:b/>
          <w:sz w:val="24"/>
          <w:szCs w:val="24"/>
        </w:rPr>
        <w:t>Conclusion</w:t>
      </w:r>
    </w:p>
    <w:p w:rsidR="007A4B76" w:rsidRDefault="007A4B76" w:rsidP="0060563F">
      <w:pPr>
        <w:spacing w:before="240" w:line="240" w:lineRule="auto"/>
        <w:jc w:val="both"/>
        <w:rPr>
          <w:rFonts w:ascii="Times New Roman" w:hAnsi="Times New Roman" w:cs="Times New Roman"/>
          <w:sz w:val="24"/>
          <w:szCs w:val="24"/>
        </w:rPr>
      </w:pPr>
      <w:r w:rsidRPr="006B1AD3">
        <w:rPr>
          <w:rFonts w:ascii="Times New Roman" w:hAnsi="Times New Roman" w:cs="Times New Roman"/>
          <w:sz w:val="24"/>
          <w:szCs w:val="24"/>
        </w:rPr>
        <w:t xml:space="preserve">The </w:t>
      </w:r>
      <w:r w:rsidRPr="006B1AD3">
        <w:rPr>
          <w:rFonts w:ascii="Times New Roman" w:hAnsi="Times New Roman" w:cs="Times New Roman"/>
          <w:color w:val="000000"/>
          <w:sz w:val="24"/>
          <w:szCs w:val="24"/>
        </w:rPr>
        <w:t>Code</w:t>
      </w:r>
      <w:r>
        <w:rPr>
          <w:color w:val="000000"/>
        </w:rPr>
        <w:t xml:space="preserve"> </w:t>
      </w:r>
      <w:r>
        <w:rPr>
          <w:rFonts w:ascii="Times New Roman" w:hAnsi="Times New Roman" w:cs="Times New Roman"/>
          <w:sz w:val="24"/>
          <w:szCs w:val="24"/>
        </w:rPr>
        <w:t>was enacted as an original legislation</w:t>
      </w:r>
      <w:r w:rsidR="00B007AE">
        <w:rPr>
          <w:rFonts w:ascii="Times New Roman" w:hAnsi="Times New Roman" w:cs="Times New Roman"/>
          <w:sz w:val="24"/>
          <w:szCs w:val="24"/>
        </w:rPr>
        <w:t>,</w:t>
      </w:r>
      <w:r>
        <w:rPr>
          <w:rFonts w:ascii="Times New Roman" w:hAnsi="Times New Roman" w:cs="Times New Roman"/>
          <w:sz w:val="24"/>
          <w:szCs w:val="24"/>
        </w:rPr>
        <w:t xml:space="preserve"> intended to consolidate laws related to insolvency and bankruptcy which were existing before. The Code has brought amendment to different existing laws and has made it easy for the creditors to recover their debts.</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various objectives of this Code but the most important one is to provide effective manner in which the debts could be recovered by the creditor through different means. Before the enactment of this Code, the only manner in which debt could be recovered from a failing concern was by liquidating it. The enactment of </w:t>
      </w:r>
      <w:r>
        <w:rPr>
          <w:color w:val="000000"/>
        </w:rPr>
        <w:t xml:space="preserve">Code </w:t>
      </w:r>
      <w:r>
        <w:rPr>
          <w:rFonts w:ascii="Times New Roman" w:hAnsi="Times New Roman" w:cs="Times New Roman"/>
          <w:sz w:val="24"/>
          <w:szCs w:val="24"/>
        </w:rPr>
        <w:t xml:space="preserve">has brought out the manner of </w:t>
      </w:r>
      <w:r w:rsidR="00D001A9">
        <w:rPr>
          <w:rFonts w:ascii="Times New Roman" w:hAnsi="Times New Roman" w:cs="Times New Roman"/>
          <w:sz w:val="24"/>
          <w:szCs w:val="24"/>
        </w:rPr>
        <w:t>CIRP</w:t>
      </w:r>
      <w:r>
        <w:rPr>
          <w:rFonts w:ascii="Times New Roman" w:hAnsi="Times New Roman" w:cs="Times New Roman"/>
          <w:sz w:val="24"/>
          <w:szCs w:val="24"/>
        </w:rPr>
        <w:t>, where attempt is made to revive the same and make it viable.</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main concern of the Code is to provide the opportunity to corporate to revive during insolvency resolution process. The focus of Code </w:t>
      </w:r>
      <w:r w:rsidR="0012615A">
        <w:rPr>
          <w:rFonts w:ascii="Times New Roman" w:hAnsi="Times New Roman" w:cs="Times New Roman"/>
          <w:sz w:val="24"/>
          <w:szCs w:val="24"/>
        </w:rPr>
        <w:t xml:space="preserve">is </w:t>
      </w:r>
      <w:r>
        <w:rPr>
          <w:rFonts w:ascii="Times New Roman" w:hAnsi="Times New Roman" w:cs="Times New Roman"/>
          <w:sz w:val="24"/>
          <w:szCs w:val="24"/>
        </w:rPr>
        <w:t>to vest power with creditors, so that their interest are not undermine</w:t>
      </w:r>
      <w:r w:rsidR="0040575E">
        <w:rPr>
          <w:rFonts w:ascii="Times New Roman" w:hAnsi="Times New Roman" w:cs="Times New Roman"/>
          <w:sz w:val="24"/>
          <w:szCs w:val="24"/>
        </w:rPr>
        <w:t>d while resolving or liquidating</w:t>
      </w:r>
      <w:r>
        <w:rPr>
          <w:rFonts w:ascii="Times New Roman" w:hAnsi="Times New Roman" w:cs="Times New Roman"/>
          <w:sz w:val="24"/>
          <w:szCs w:val="24"/>
        </w:rPr>
        <w:t xml:space="preserve"> the corporate debtor.</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Also, the Code seeks to complete the process within a time frame, which was not possible in previous laws, because of multiple legislation and initiation of suit by or against the debtor. The Code has brought the change that there shall be moratorium imposed during the period of insolvency resolution process, thus, the process tend to be completed within the time frame.</w:t>
      </w:r>
    </w:p>
    <w:p w:rsidR="007A4B76" w:rsidRDefault="007A4B76"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the corporate is unable to be revived through resolution the it shall be liquidated and that should also be done within a time frame in order to protect the interest of creditor which could be hampered by the delay. </w:t>
      </w:r>
      <w:r w:rsidR="00B007AE" w:rsidRPr="00B007AE">
        <w:rPr>
          <w:rFonts w:ascii="Times New Roman" w:hAnsi="Times New Roman" w:cs="Times New Roman"/>
          <w:sz w:val="24"/>
          <w:szCs w:val="24"/>
        </w:rPr>
        <w:t>It has shifted the focus from rights of the debtor to the right of creditor by vesting powers with committee of creditors which was not there in previous legislation.</w:t>
      </w:r>
      <w:r w:rsidR="00B007AE">
        <w:rPr>
          <w:rFonts w:ascii="Times New Roman" w:hAnsi="Times New Roman" w:cs="Times New Roman"/>
          <w:sz w:val="24"/>
          <w:szCs w:val="24"/>
        </w:rPr>
        <w:t xml:space="preserve"> </w:t>
      </w:r>
      <w:r>
        <w:rPr>
          <w:rFonts w:ascii="Times New Roman" w:hAnsi="Times New Roman" w:cs="Times New Roman"/>
          <w:sz w:val="24"/>
          <w:szCs w:val="24"/>
        </w:rPr>
        <w:t>The Code also mentions about voluntary liquidation as well as liquidation initiated when restructuring of the debtor is failed.</w:t>
      </w:r>
    </w:p>
    <w:p w:rsidR="007A4B76" w:rsidRDefault="00740988" w:rsidP="0060563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007A4B76">
        <w:rPr>
          <w:rFonts w:ascii="Times New Roman" w:hAnsi="Times New Roman" w:cs="Times New Roman"/>
          <w:sz w:val="24"/>
          <w:szCs w:val="24"/>
        </w:rPr>
        <w:t xml:space="preserve">he code provide for completion of process within a time frame, but it </w:t>
      </w:r>
      <w:r w:rsidR="0093301F">
        <w:rPr>
          <w:rFonts w:ascii="Times New Roman" w:hAnsi="Times New Roman" w:cs="Times New Roman"/>
          <w:sz w:val="24"/>
          <w:szCs w:val="24"/>
        </w:rPr>
        <w:t>is</w:t>
      </w:r>
      <w:r w:rsidR="007A4B76">
        <w:rPr>
          <w:rFonts w:ascii="Times New Roman" w:hAnsi="Times New Roman" w:cs="Times New Roman"/>
          <w:sz w:val="24"/>
          <w:szCs w:val="24"/>
        </w:rPr>
        <w:t xml:space="preserve"> difficult with lack in number of NCLT in comparison to cases being initiated. This </w:t>
      </w:r>
      <w:r w:rsidR="0093301F">
        <w:rPr>
          <w:rFonts w:ascii="Times New Roman" w:hAnsi="Times New Roman" w:cs="Times New Roman"/>
          <w:sz w:val="24"/>
          <w:szCs w:val="24"/>
        </w:rPr>
        <w:t>results</w:t>
      </w:r>
      <w:r w:rsidR="007A4B76">
        <w:rPr>
          <w:rFonts w:ascii="Times New Roman" w:hAnsi="Times New Roman" w:cs="Times New Roman"/>
          <w:sz w:val="24"/>
          <w:szCs w:val="24"/>
        </w:rPr>
        <w:t xml:space="preserve"> in delay, which in turn defeat</w:t>
      </w:r>
      <w:r w:rsidR="00DD03E0">
        <w:rPr>
          <w:rFonts w:ascii="Times New Roman" w:hAnsi="Times New Roman" w:cs="Times New Roman"/>
          <w:sz w:val="24"/>
          <w:szCs w:val="24"/>
        </w:rPr>
        <w:t>s</w:t>
      </w:r>
      <w:r w:rsidR="007A4B76">
        <w:rPr>
          <w:rFonts w:ascii="Times New Roman" w:hAnsi="Times New Roman" w:cs="Times New Roman"/>
          <w:sz w:val="24"/>
          <w:szCs w:val="24"/>
        </w:rPr>
        <w:t xml:space="preserve"> the purpose of Code. Also, large number of creditors may not smoothly run committee of creditors.</w:t>
      </w:r>
    </w:p>
    <w:p w:rsidR="007A4B76" w:rsidRPr="00974A7F" w:rsidRDefault="007A4B76" w:rsidP="0060563F">
      <w:pPr>
        <w:spacing w:before="240" w:line="240" w:lineRule="auto"/>
        <w:jc w:val="both"/>
        <w:rPr>
          <w:rFonts w:ascii="Times New Roman" w:hAnsi="Times New Roman" w:cs="Times New Roman"/>
          <w:sz w:val="24"/>
          <w:szCs w:val="24"/>
        </w:rPr>
      </w:pPr>
      <w:r w:rsidRPr="00974A7F">
        <w:rPr>
          <w:rFonts w:ascii="Times New Roman" w:hAnsi="Times New Roman" w:cs="Times New Roman"/>
          <w:sz w:val="24"/>
          <w:szCs w:val="24"/>
        </w:rPr>
        <w:t xml:space="preserve">The way forward </w:t>
      </w:r>
      <w:r w:rsidR="00FC2750">
        <w:rPr>
          <w:rFonts w:ascii="Times New Roman" w:hAnsi="Times New Roman" w:cs="Times New Roman"/>
          <w:sz w:val="24"/>
          <w:szCs w:val="24"/>
        </w:rPr>
        <w:t>is to</w:t>
      </w:r>
      <w:r w:rsidRPr="00974A7F">
        <w:rPr>
          <w:rFonts w:ascii="Times New Roman" w:hAnsi="Times New Roman" w:cs="Times New Roman"/>
          <w:sz w:val="24"/>
          <w:szCs w:val="24"/>
        </w:rPr>
        <w:t xml:space="preserve"> increase NCLT benches to resolve the issue, so that the purpose of IBC is served. To make the liquidator and resolution professional more accountable with the decisions take by them. There should be decentralization of power from committee of creditors and their accountability should also be increased.</w:t>
      </w:r>
    </w:p>
    <w:p w:rsidR="007A4B76" w:rsidRPr="006B1D62" w:rsidRDefault="007A4B76" w:rsidP="0060563F">
      <w:pPr>
        <w:spacing w:before="240" w:line="240" w:lineRule="auto"/>
        <w:jc w:val="both"/>
        <w:rPr>
          <w:rFonts w:ascii="Times New Roman" w:hAnsi="Times New Roman" w:cs="Times New Roman"/>
          <w:sz w:val="24"/>
          <w:szCs w:val="24"/>
        </w:rPr>
      </w:pPr>
    </w:p>
    <w:p w:rsidR="00A90CE0" w:rsidRDefault="00A90CE0" w:rsidP="0060563F">
      <w:pPr>
        <w:spacing w:before="240" w:line="240" w:lineRule="auto"/>
        <w:jc w:val="both"/>
        <w:rPr>
          <w:rFonts w:ascii="Times New Roman" w:hAnsi="Times New Roman" w:cs="Times New Roman"/>
          <w:sz w:val="24"/>
          <w:szCs w:val="24"/>
        </w:rPr>
      </w:pPr>
    </w:p>
    <w:p w:rsidR="0061469B" w:rsidRPr="003E7DA2" w:rsidRDefault="0061469B" w:rsidP="004A6B9E">
      <w:pPr>
        <w:spacing w:before="240" w:line="360" w:lineRule="auto"/>
        <w:jc w:val="both"/>
        <w:rPr>
          <w:rFonts w:ascii="Times New Roman" w:hAnsi="Times New Roman" w:cs="Times New Roman"/>
          <w:sz w:val="24"/>
          <w:szCs w:val="24"/>
        </w:rPr>
      </w:pPr>
    </w:p>
    <w:sectPr w:rsidR="0061469B" w:rsidRPr="003E7DA2" w:rsidSect="007D2E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2A7" w:rsidRDefault="00FA62A7" w:rsidP="00C60B55">
      <w:pPr>
        <w:spacing w:after="0" w:line="240" w:lineRule="auto"/>
      </w:pPr>
      <w:r>
        <w:separator/>
      </w:r>
    </w:p>
  </w:endnote>
  <w:endnote w:type="continuationSeparator" w:id="1">
    <w:p w:rsidR="00FA62A7" w:rsidRDefault="00FA62A7" w:rsidP="00C60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LTStd-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2A7" w:rsidRDefault="00FA62A7" w:rsidP="00C60B55">
      <w:pPr>
        <w:spacing w:after="0" w:line="240" w:lineRule="auto"/>
      </w:pPr>
      <w:r>
        <w:separator/>
      </w:r>
    </w:p>
  </w:footnote>
  <w:footnote w:type="continuationSeparator" w:id="1">
    <w:p w:rsidR="00FA62A7" w:rsidRDefault="00FA62A7" w:rsidP="00C60B55">
      <w:pPr>
        <w:spacing w:after="0" w:line="240" w:lineRule="auto"/>
      </w:pPr>
      <w:r>
        <w:continuationSeparator/>
      </w:r>
    </w:p>
  </w:footnote>
  <w:footnote w:id="2">
    <w:p w:rsidR="00C60B55" w:rsidRPr="00B35E29" w:rsidRDefault="00C60B55" w:rsidP="00C60B55">
      <w:pPr>
        <w:pStyle w:val="FootnoteText"/>
        <w:rPr>
          <w:rFonts w:cs="Times New Roman"/>
        </w:rPr>
      </w:pPr>
      <w:r w:rsidRPr="00B35E29">
        <w:rPr>
          <w:rStyle w:val="FootnoteReference"/>
          <w:rFonts w:cs="Times New Roman"/>
        </w:rPr>
        <w:footnoteRef/>
      </w:r>
      <w:r w:rsidRPr="00B35E29">
        <w:rPr>
          <w:rFonts w:cs="Times New Roman"/>
        </w:rPr>
        <w:t xml:space="preserve"> Hereinafter mentioned as Code.</w:t>
      </w:r>
    </w:p>
  </w:footnote>
  <w:footnote w:id="3">
    <w:p w:rsidR="00606F8D" w:rsidRPr="00B35E29" w:rsidRDefault="00606F8D">
      <w:pPr>
        <w:pStyle w:val="FootnoteText"/>
        <w:rPr>
          <w:rFonts w:cs="Times New Roman"/>
        </w:rPr>
      </w:pPr>
      <w:r w:rsidRPr="00B35E29">
        <w:rPr>
          <w:rStyle w:val="FootnoteReference"/>
          <w:rFonts w:cs="Times New Roman"/>
        </w:rPr>
        <w:footnoteRef/>
      </w:r>
      <w:r w:rsidRPr="00B35E29">
        <w:rPr>
          <w:rFonts w:cs="Times New Roman"/>
        </w:rPr>
        <w:t xml:space="preserve"> The Insolvency And Bankruptcy Code, 2016, No. 13, Acts of Parliament, 2016 (India) § 206.</w:t>
      </w:r>
    </w:p>
  </w:footnote>
  <w:footnote w:id="4">
    <w:p w:rsidR="004C3FD0" w:rsidRPr="00B35E29" w:rsidRDefault="004C3FD0" w:rsidP="004C3FD0">
      <w:pPr>
        <w:pStyle w:val="FootnoteText"/>
        <w:rPr>
          <w:rFonts w:cs="Times New Roman"/>
        </w:rPr>
      </w:pPr>
      <w:r w:rsidRPr="00B35E29">
        <w:rPr>
          <w:rStyle w:val="FootnoteReference"/>
          <w:rFonts w:cs="Times New Roman"/>
        </w:rPr>
        <w:footnoteRef/>
      </w:r>
      <w:r w:rsidRPr="00B35E29">
        <w:rPr>
          <w:rFonts w:cs="Times New Roman"/>
        </w:rPr>
        <w:t xml:space="preserve"> Hereinafter mentioned as NCLT.</w:t>
      </w:r>
    </w:p>
  </w:footnote>
  <w:footnote w:id="5">
    <w:p w:rsidR="004C3FD0" w:rsidRPr="00B35E29" w:rsidRDefault="004C3FD0" w:rsidP="004C3FD0">
      <w:pPr>
        <w:pStyle w:val="FootnoteText"/>
        <w:rPr>
          <w:rFonts w:cs="Times New Roman"/>
        </w:rPr>
      </w:pPr>
      <w:r w:rsidRPr="00B35E29">
        <w:rPr>
          <w:rStyle w:val="FootnoteReference"/>
          <w:rFonts w:cs="Times New Roman"/>
        </w:rPr>
        <w:footnoteRef/>
      </w:r>
      <w:r w:rsidRPr="00B35E29">
        <w:rPr>
          <w:rFonts w:cs="Times New Roman"/>
          <w:i/>
        </w:rPr>
        <w:t xml:space="preserve">Supra </w:t>
      </w:r>
      <w:r w:rsidRPr="00B35E29">
        <w:rPr>
          <w:rFonts w:cs="Times New Roman"/>
        </w:rPr>
        <w:t>not</w:t>
      </w:r>
      <w:r w:rsidR="00F247E5" w:rsidRPr="00B35E29">
        <w:rPr>
          <w:rFonts w:cs="Times New Roman"/>
        </w:rPr>
        <w:t>e</w:t>
      </w:r>
      <w:r w:rsidRPr="00B35E29">
        <w:rPr>
          <w:rFonts w:cs="Times New Roman"/>
        </w:rPr>
        <w:t xml:space="preserve"> at 2, § 60(1).</w:t>
      </w:r>
    </w:p>
  </w:footnote>
  <w:footnote w:id="6">
    <w:p w:rsidR="004C3FD0" w:rsidRPr="00B35E29" w:rsidRDefault="004C3FD0" w:rsidP="004C3FD0">
      <w:pPr>
        <w:pStyle w:val="FootnoteText"/>
        <w:rPr>
          <w:rFonts w:cs="Times New Roman"/>
        </w:rPr>
      </w:pPr>
      <w:r w:rsidRPr="00B35E29">
        <w:rPr>
          <w:rStyle w:val="FootnoteReference"/>
          <w:rFonts w:cs="Times New Roman"/>
        </w:rPr>
        <w:footnoteRef/>
      </w:r>
      <w:r w:rsidRPr="00B35E29">
        <w:rPr>
          <w:rFonts w:cs="Times New Roman"/>
        </w:rPr>
        <w:t xml:space="preserve"> The Companies Act, 2013, No. 18, Acts of Parliament, 2013 (India).</w:t>
      </w:r>
    </w:p>
  </w:footnote>
  <w:footnote w:id="7">
    <w:p w:rsidR="004C3FD0" w:rsidRPr="00B35E29" w:rsidRDefault="004C3FD0" w:rsidP="004C3FD0">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note at 2, § 60(4).</w:t>
      </w:r>
    </w:p>
  </w:footnote>
  <w:footnote w:id="8">
    <w:p w:rsidR="007603C6" w:rsidRPr="00B35E29" w:rsidRDefault="007603C6" w:rsidP="007603C6">
      <w:pPr>
        <w:pStyle w:val="FootnoteText"/>
        <w:rPr>
          <w:rFonts w:cs="Times New Roman"/>
        </w:rPr>
      </w:pPr>
      <w:r w:rsidRPr="00B35E29">
        <w:rPr>
          <w:rStyle w:val="FootnoteReference"/>
          <w:rFonts w:cs="Times New Roman"/>
        </w:rPr>
        <w:footnoteRef/>
      </w:r>
      <w:r w:rsidRPr="00B35E29">
        <w:rPr>
          <w:rFonts w:cs="Times New Roman"/>
        </w:rPr>
        <w:t xml:space="preserve"> Civil Appeal No. 8766-67 of 2019.</w:t>
      </w:r>
    </w:p>
  </w:footnote>
  <w:footnote w:id="9">
    <w:p w:rsidR="001169B9" w:rsidRPr="00B35E29" w:rsidRDefault="001169B9">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Supra</w:t>
      </w:r>
      <w:r w:rsidRPr="00B35E29">
        <w:rPr>
          <w:rFonts w:cs="Times New Roman"/>
        </w:rPr>
        <w:t xml:space="preserve"> note at 2, § 61(2).</w:t>
      </w:r>
    </w:p>
  </w:footnote>
  <w:footnote w:id="10">
    <w:p w:rsidR="00435AE8" w:rsidRPr="00B35E29" w:rsidRDefault="00435AE8">
      <w:pPr>
        <w:pStyle w:val="FootnoteText"/>
        <w:rPr>
          <w:rFonts w:cs="Times New Roman"/>
        </w:rPr>
      </w:pPr>
      <w:r w:rsidRPr="00B35E29">
        <w:rPr>
          <w:rStyle w:val="FootnoteReference"/>
          <w:rFonts w:cs="Times New Roman"/>
        </w:rPr>
        <w:footnoteRef/>
      </w:r>
      <w:r w:rsidRPr="00B35E29">
        <w:rPr>
          <w:rFonts w:cs="Times New Roman"/>
        </w:rPr>
        <w:t xml:space="preserve"> Id., § 62(1).</w:t>
      </w:r>
    </w:p>
  </w:footnote>
  <w:footnote w:id="11">
    <w:p w:rsidR="00A17C38" w:rsidRPr="00B35E29" w:rsidRDefault="00A17C38" w:rsidP="00A17C38">
      <w:pPr>
        <w:pStyle w:val="FootnoteText"/>
        <w:rPr>
          <w:rFonts w:cs="Times New Roman"/>
        </w:rPr>
      </w:pPr>
      <w:r w:rsidRPr="00B35E29">
        <w:rPr>
          <w:rStyle w:val="FootnoteReference"/>
          <w:rFonts w:cs="Times New Roman"/>
        </w:rPr>
        <w:footnoteRef/>
      </w:r>
      <w:r w:rsidRPr="00B35E29">
        <w:rPr>
          <w:rFonts w:cs="Times New Roman"/>
        </w:rPr>
        <w:t xml:space="preserve"> 2019 SCC Online SC 1542.</w:t>
      </w:r>
    </w:p>
  </w:footnote>
  <w:footnote w:id="12">
    <w:p w:rsidR="00BC4A6E" w:rsidRPr="00B35E29" w:rsidRDefault="00BC4A6E" w:rsidP="00BC4A6E">
      <w:pPr>
        <w:pStyle w:val="FootnoteText"/>
        <w:rPr>
          <w:rFonts w:cs="Times New Roman"/>
        </w:rPr>
      </w:pPr>
      <w:r w:rsidRPr="00B35E29">
        <w:rPr>
          <w:rStyle w:val="FootnoteReference"/>
          <w:rFonts w:cs="Times New Roman"/>
        </w:rPr>
        <w:footnoteRef/>
      </w:r>
      <w:r w:rsidRPr="00B35E29">
        <w:rPr>
          <w:rFonts w:cs="Times New Roman"/>
        </w:rPr>
        <w:t xml:space="preserve"> </w:t>
      </w:r>
      <w:r w:rsidR="00275A12" w:rsidRPr="00B35E29">
        <w:rPr>
          <w:rFonts w:cs="Times New Roman"/>
          <w:i/>
        </w:rPr>
        <w:t>Supra</w:t>
      </w:r>
      <w:r w:rsidR="00275A12" w:rsidRPr="00B35E29">
        <w:rPr>
          <w:rFonts w:cs="Times New Roman"/>
        </w:rPr>
        <w:t xml:space="preserve"> note at 2, </w:t>
      </w:r>
      <w:r w:rsidRPr="00B35E29">
        <w:rPr>
          <w:rFonts w:cs="Times New Roman"/>
        </w:rPr>
        <w:t>§ 196(3).</w:t>
      </w:r>
    </w:p>
  </w:footnote>
  <w:footnote w:id="13">
    <w:p w:rsidR="00EB0911" w:rsidRPr="00B35E29" w:rsidRDefault="00EB0911" w:rsidP="00EB0911">
      <w:pPr>
        <w:autoSpaceDE w:val="0"/>
        <w:autoSpaceDN w:val="0"/>
        <w:adjustRightInd w:val="0"/>
        <w:spacing w:after="0" w:line="240" w:lineRule="auto"/>
        <w:jc w:val="both"/>
        <w:rPr>
          <w:rFonts w:ascii="Times New Roman" w:hAnsi="Times New Roman" w:cs="Times New Roman"/>
          <w:bCs/>
          <w:sz w:val="20"/>
          <w:szCs w:val="20"/>
        </w:rPr>
      </w:pPr>
      <w:r w:rsidRPr="00B35E29">
        <w:rPr>
          <w:rStyle w:val="FootnoteReference"/>
          <w:rFonts w:ascii="Times New Roman" w:hAnsi="Times New Roman" w:cs="Times New Roman"/>
          <w:sz w:val="20"/>
          <w:szCs w:val="20"/>
        </w:rPr>
        <w:footnoteRef/>
      </w:r>
      <w:r w:rsidRPr="00B35E29">
        <w:rPr>
          <w:rFonts w:ascii="Times New Roman" w:hAnsi="Times New Roman" w:cs="Times New Roman"/>
          <w:sz w:val="20"/>
          <w:szCs w:val="20"/>
        </w:rPr>
        <w:t xml:space="preserve"> </w:t>
      </w:r>
      <w:r w:rsidRPr="00B35E29">
        <w:rPr>
          <w:rFonts w:ascii="Times New Roman" w:hAnsi="Times New Roman" w:cs="Times New Roman"/>
          <w:bCs/>
          <w:sz w:val="20"/>
          <w:szCs w:val="20"/>
        </w:rPr>
        <w:t>Insolvency And Bankruptcy Board Of India (Insolvency Resolution Process For Corporate Persons) Regulations, 2016. Hereinafter mentioned as CIRP Regulations.</w:t>
      </w:r>
    </w:p>
  </w:footnote>
  <w:footnote w:id="14">
    <w:p w:rsidR="00EB0911" w:rsidRPr="00B35E29" w:rsidRDefault="00EB0911" w:rsidP="00EB0911">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 xml:space="preserve">note at 2, </w:t>
      </w:r>
      <w:r w:rsidRPr="00B35E29">
        <w:rPr>
          <w:rFonts w:cs="Times New Roman"/>
          <w:color w:val="000000"/>
        </w:rPr>
        <w:t>§</w:t>
      </w:r>
      <w:r w:rsidRPr="00B35E29">
        <w:rPr>
          <w:rFonts w:cs="Times New Roman"/>
        </w:rPr>
        <w:t>6.</w:t>
      </w:r>
    </w:p>
  </w:footnote>
  <w:footnote w:id="15">
    <w:p w:rsidR="00EB0911" w:rsidRPr="00B35E29" w:rsidRDefault="00EB0911" w:rsidP="00EB0911">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note at 2, § 7(1).</w:t>
      </w:r>
    </w:p>
  </w:footnote>
  <w:footnote w:id="16">
    <w:p w:rsidR="00EB0911" w:rsidRPr="00B35E29" w:rsidRDefault="00EB0911" w:rsidP="00EB0911">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Style w:val="default20paragraph20font"/>
          <w:rFonts w:cs="Times New Roman"/>
          <w:color w:val="000000"/>
        </w:rPr>
        <w:t>Id</w:t>
      </w:r>
      <w:r w:rsidRPr="00B35E29">
        <w:rPr>
          <w:rFonts w:cs="Times New Roman"/>
          <w:color w:val="000000"/>
        </w:rPr>
        <w:t>., §</w:t>
      </w:r>
      <w:r w:rsidRPr="00B35E29">
        <w:rPr>
          <w:rFonts w:cs="Times New Roman"/>
        </w:rPr>
        <w:t>7(3).</w:t>
      </w:r>
    </w:p>
  </w:footnote>
  <w:footnote w:id="17">
    <w:p w:rsidR="00DC213F" w:rsidRPr="00B35E29" w:rsidRDefault="00DC213F">
      <w:pPr>
        <w:pStyle w:val="FootnoteText"/>
        <w:rPr>
          <w:rFonts w:cs="Times New Roman"/>
        </w:rPr>
      </w:pPr>
      <w:r w:rsidRPr="00B35E29">
        <w:rPr>
          <w:rStyle w:val="FootnoteReference"/>
          <w:rFonts w:cs="Times New Roman"/>
        </w:rPr>
        <w:footnoteRef/>
      </w:r>
      <w:r w:rsidRPr="00B35E29">
        <w:rPr>
          <w:rFonts w:cs="Times New Roman"/>
        </w:rPr>
        <w:t xml:space="preserve"> Id., §9(1).</w:t>
      </w:r>
    </w:p>
  </w:footnote>
  <w:footnote w:id="18">
    <w:p w:rsidR="0075191F" w:rsidRPr="00B35E29" w:rsidRDefault="0075191F" w:rsidP="0075191F">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Style w:val="default20paragraph20font"/>
          <w:rFonts w:cs="Times New Roman"/>
          <w:color w:val="000000"/>
        </w:rPr>
        <w:t>Id</w:t>
      </w:r>
      <w:r w:rsidRPr="00B35E29">
        <w:rPr>
          <w:rFonts w:cs="Times New Roman"/>
          <w:color w:val="000000"/>
        </w:rPr>
        <w:t>., §</w:t>
      </w:r>
      <w:r w:rsidRPr="00B35E29">
        <w:rPr>
          <w:rFonts w:cs="Times New Roman"/>
        </w:rPr>
        <w:t>10(3).</w:t>
      </w:r>
    </w:p>
  </w:footnote>
  <w:footnote w:id="19">
    <w:p w:rsidR="009376D4" w:rsidRPr="00B35E29" w:rsidRDefault="009376D4" w:rsidP="009376D4">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Style w:val="default20paragraph20font"/>
          <w:rFonts w:cs="Times New Roman"/>
          <w:color w:val="000000"/>
        </w:rPr>
        <w:t>Id</w:t>
      </w:r>
      <w:r w:rsidRPr="00B35E29">
        <w:rPr>
          <w:rFonts w:cs="Times New Roman"/>
          <w:color w:val="000000"/>
        </w:rPr>
        <w:t>., §</w:t>
      </w:r>
      <w:r w:rsidRPr="00B35E29">
        <w:rPr>
          <w:rFonts w:cs="Times New Roman"/>
        </w:rPr>
        <w:t>12.</w:t>
      </w:r>
    </w:p>
  </w:footnote>
  <w:footnote w:id="20">
    <w:p w:rsidR="008E50B5" w:rsidRPr="00B35E29" w:rsidRDefault="008E50B5" w:rsidP="008E50B5">
      <w:pPr>
        <w:pStyle w:val="FootnoteText"/>
        <w:rPr>
          <w:rFonts w:cs="Times New Roman"/>
        </w:rPr>
      </w:pPr>
      <w:r w:rsidRPr="00B35E29">
        <w:rPr>
          <w:rStyle w:val="FootnoteReference"/>
          <w:rFonts w:cs="Times New Roman"/>
        </w:rPr>
        <w:footnoteRef/>
      </w:r>
      <w:r w:rsidRPr="00B35E29">
        <w:rPr>
          <w:rFonts w:cs="Times New Roman"/>
        </w:rPr>
        <w:t xml:space="preserve"> Id., </w:t>
      </w:r>
      <w:r w:rsidRPr="00B35E29">
        <w:rPr>
          <w:rFonts w:cs="Times New Roman"/>
          <w:color w:val="000000"/>
        </w:rPr>
        <w:t>§</w:t>
      </w:r>
      <w:r w:rsidRPr="00B35E29">
        <w:rPr>
          <w:rFonts w:cs="Times New Roman"/>
        </w:rPr>
        <w:t xml:space="preserve"> 65.</w:t>
      </w:r>
    </w:p>
  </w:footnote>
  <w:footnote w:id="21">
    <w:p w:rsidR="008E50B5" w:rsidRPr="00B35E29" w:rsidRDefault="008E50B5" w:rsidP="008E50B5">
      <w:pPr>
        <w:pStyle w:val="FootnoteText"/>
        <w:rPr>
          <w:rFonts w:cs="Times New Roman"/>
        </w:rPr>
      </w:pPr>
      <w:r w:rsidRPr="00B35E29">
        <w:rPr>
          <w:rStyle w:val="FootnoteReference"/>
          <w:rFonts w:cs="Times New Roman"/>
        </w:rPr>
        <w:footnoteRef/>
      </w:r>
      <w:r w:rsidRPr="00B35E29">
        <w:rPr>
          <w:rFonts w:cs="Times New Roman"/>
        </w:rPr>
        <w:t xml:space="preserve"> Company Appeal (AT) (Insol) No. 1 of 2020.</w:t>
      </w:r>
    </w:p>
  </w:footnote>
  <w:footnote w:id="22">
    <w:p w:rsidR="004A6B9E" w:rsidRPr="00B35E29" w:rsidRDefault="004A6B9E" w:rsidP="004A6B9E">
      <w:pPr>
        <w:pStyle w:val="FootnoteText"/>
        <w:rPr>
          <w:rFonts w:cs="Times New Roman"/>
        </w:rPr>
      </w:pPr>
      <w:r w:rsidRPr="00B35E29">
        <w:rPr>
          <w:rStyle w:val="FootnoteReference"/>
          <w:rFonts w:cs="Times New Roman"/>
        </w:rPr>
        <w:footnoteRef/>
      </w:r>
      <w:r w:rsidRPr="00B35E29">
        <w:rPr>
          <w:rFonts w:cs="Times New Roman"/>
        </w:rPr>
        <w:t xml:space="preserve"> </w:t>
      </w:r>
      <w:r w:rsidR="00844ECB" w:rsidRPr="00B35E29">
        <w:rPr>
          <w:rFonts w:cs="Times New Roman"/>
        </w:rPr>
        <w:t xml:space="preserve">T. K. Viswanathan, </w:t>
      </w:r>
      <w:r w:rsidR="00844ECB" w:rsidRPr="00B35E29">
        <w:rPr>
          <w:rFonts w:cs="Times New Roman"/>
          <w:i/>
        </w:rPr>
        <w:t>The Report of The Bankruptcy Law Reforms Committee Volume I: Rationale And Design</w:t>
      </w:r>
      <w:r w:rsidR="00844ECB" w:rsidRPr="00B35E29">
        <w:rPr>
          <w:rFonts w:cs="Times New Roman"/>
        </w:rPr>
        <w:t>, (2015).</w:t>
      </w:r>
    </w:p>
  </w:footnote>
  <w:footnote w:id="23">
    <w:p w:rsidR="004A6B9E" w:rsidRPr="00B35E29" w:rsidRDefault="004A6B9E" w:rsidP="004A6B9E">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note at 2, § 14(2).</w:t>
      </w:r>
    </w:p>
  </w:footnote>
  <w:footnote w:id="24">
    <w:p w:rsidR="004A6B9E" w:rsidRPr="00B35E29" w:rsidRDefault="004A6B9E" w:rsidP="004A6B9E">
      <w:pPr>
        <w:pStyle w:val="FootnoteText"/>
        <w:rPr>
          <w:rFonts w:cs="Times New Roman"/>
        </w:rPr>
      </w:pPr>
      <w:r w:rsidRPr="00B35E29">
        <w:rPr>
          <w:rStyle w:val="FootnoteReference"/>
          <w:rFonts w:cs="Times New Roman"/>
        </w:rPr>
        <w:footnoteRef/>
      </w:r>
      <w:r w:rsidRPr="00B35E29">
        <w:rPr>
          <w:rFonts w:cs="Times New Roman"/>
        </w:rPr>
        <w:t xml:space="preserve"> Id., § 14(3).</w:t>
      </w:r>
    </w:p>
  </w:footnote>
  <w:footnote w:id="25">
    <w:p w:rsidR="004A6B9E" w:rsidRPr="00B35E29" w:rsidRDefault="004A6B9E" w:rsidP="004A6B9E">
      <w:pPr>
        <w:pStyle w:val="FootnoteText"/>
        <w:rPr>
          <w:rFonts w:cs="Times New Roman"/>
        </w:rPr>
      </w:pPr>
      <w:r w:rsidRPr="00B35E29">
        <w:rPr>
          <w:rStyle w:val="FootnoteReference"/>
          <w:rFonts w:cs="Times New Roman"/>
        </w:rPr>
        <w:footnoteRef/>
      </w:r>
      <w:r w:rsidRPr="00B35E29">
        <w:rPr>
          <w:rFonts w:cs="Times New Roman"/>
        </w:rPr>
        <w:t xml:space="preserve"> 246 (2018) DLT 485.</w:t>
      </w:r>
    </w:p>
  </w:footnote>
  <w:footnote w:id="26">
    <w:p w:rsidR="0061469B" w:rsidRPr="00B35E29" w:rsidRDefault="0061469B" w:rsidP="0061469B">
      <w:pPr>
        <w:pStyle w:val="FootnoteText"/>
        <w:rPr>
          <w:rFonts w:cs="Times New Roman"/>
        </w:rPr>
      </w:pPr>
      <w:r w:rsidRPr="00B35E29">
        <w:rPr>
          <w:rStyle w:val="FootnoteReference"/>
          <w:rFonts w:cs="Times New Roman"/>
        </w:rPr>
        <w:footnoteRef/>
      </w:r>
      <w:r w:rsidRPr="00B35E29">
        <w:rPr>
          <w:rFonts w:cs="Times New Roman"/>
        </w:rPr>
        <w:t xml:space="preserve"> I</w:t>
      </w:r>
      <w:r w:rsidR="00EF6C2E" w:rsidRPr="00B35E29">
        <w:rPr>
          <w:rFonts w:cs="Times New Roman"/>
          <w:i/>
        </w:rPr>
        <w:t xml:space="preserve"> Supra </w:t>
      </w:r>
      <w:r w:rsidR="00EF6C2E" w:rsidRPr="00B35E29">
        <w:rPr>
          <w:rFonts w:cs="Times New Roman"/>
        </w:rPr>
        <w:t xml:space="preserve">note at 2, </w:t>
      </w:r>
      <w:r w:rsidRPr="00B35E29">
        <w:rPr>
          <w:rFonts w:cs="Times New Roman"/>
        </w:rPr>
        <w:t>§ 21(2).</w:t>
      </w:r>
    </w:p>
  </w:footnote>
  <w:footnote w:id="27">
    <w:p w:rsidR="00A15278" w:rsidRPr="00B35E29" w:rsidRDefault="00A15278">
      <w:pPr>
        <w:pStyle w:val="FootnoteText"/>
        <w:rPr>
          <w:rFonts w:cs="Times New Roman"/>
        </w:rPr>
      </w:pPr>
      <w:r w:rsidRPr="00B35E29">
        <w:rPr>
          <w:rStyle w:val="FootnoteReference"/>
          <w:rFonts w:cs="Times New Roman"/>
        </w:rPr>
        <w:footnoteRef/>
      </w:r>
      <w:r w:rsidRPr="00B35E29">
        <w:rPr>
          <w:rFonts w:cs="Times New Roman"/>
        </w:rPr>
        <w:t xml:space="preserve"> Id., § 22(2).</w:t>
      </w:r>
    </w:p>
  </w:footnote>
  <w:footnote w:id="28">
    <w:p w:rsidR="0061469B" w:rsidRPr="00B35E29" w:rsidRDefault="0061469B" w:rsidP="0061469B">
      <w:pPr>
        <w:pStyle w:val="FootnoteText"/>
        <w:rPr>
          <w:rFonts w:cs="Times New Roman"/>
        </w:rPr>
      </w:pPr>
      <w:r w:rsidRPr="00B35E29">
        <w:rPr>
          <w:rStyle w:val="FootnoteReference"/>
          <w:rFonts w:cs="Times New Roman"/>
        </w:rPr>
        <w:footnoteRef/>
      </w:r>
      <w:r w:rsidR="00EF6C2E" w:rsidRPr="00B35E29">
        <w:rPr>
          <w:rFonts w:cs="Times New Roman"/>
        </w:rPr>
        <w:t xml:space="preserve"> Id.,</w:t>
      </w:r>
      <w:r w:rsidRPr="00B35E29">
        <w:rPr>
          <w:rFonts w:cs="Times New Roman"/>
        </w:rPr>
        <w:t xml:space="preserve"> § 22</w:t>
      </w:r>
      <w:r w:rsidR="00EF6C2E" w:rsidRPr="00B35E29">
        <w:rPr>
          <w:rFonts w:cs="Times New Roman"/>
        </w:rPr>
        <w:t>.</w:t>
      </w:r>
    </w:p>
  </w:footnote>
  <w:footnote w:id="29">
    <w:p w:rsidR="0061469B" w:rsidRPr="00B35E29" w:rsidRDefault="0061469B" w:rsidP="0061469B">
      <w:pPr>
        <w:pStyle w:val="FootnoteText"/>
        <w:rPr>
          <w:rFonts w:cs="Times New Roman"/>
        </w:rPr>
      </w:pPr>
      <w:r w:rsidRPr="00B35E29">
        <w:rPr>
          <w:rStyle w:val="FootnoteReference"/>
          <w:rFonts w:cs="Times New Roman"/>
        </w:rPr>
        <w:footnoteRef/>
      </w:r>
      <w:r w:rsidRPr="00B35E29">
        <w:rPr>
          <w:rFonts w:cs="Times New Roman"/>
        </w:rPr>
        <w:t xml:space="preserve"> CA (AT) (Ins) No. 749/2019</w:t>
      </w:r>
    </w:p>
  </w:footnote>
  <w:footnote w:id="30">
    <w:p w:rsidR="0061469B" w:rsidRPr="00B35E29" w:rsidRDefault="0061469B" w:rsidP="0061469B">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00944940" w:rsidRPr="00B35E29">
        <w:rPr>
          <w:rFonts w:cs="Times New Roman"/>
        </w:rPr>
        <w:t>note at 12</w:t>
      </w:r>
      <w:r w:rsidRPr="00B35E29">
        <w:rPr>
          <w:rFonts w:cs="Times New Roman"/>
        </w:rPr>
        <w:t>, Reg. 36A.</w:t>
      </w:r>
    </w:p>
  </w:footnote>
  <w:footnote w:id="31">
    <w:p w:rsidR="00A90CE0" w:rsidRPr="00B35E29" w:rsidRDefault="00A90CE0" w:rsidP="00A90CE0">
      <w:pPr>
        <w:pStyle w:val="FootnoteText"/>
        <w:rPr>
          <w:rFonts w:cs="Times New Roman"/>
        </w:rPr>
      </w:pPr>
      <w:r w:rsidRPr="00B35E29">
        <w:rPr>
          <w:rStyle w:val="FootnoteReference"/>
          <w:rFonts w:cs="Times New Roman"/>
        </w:rPr>
        <w:footnoteRef/>
      </w:r>
      <w:r w:rsidRPr="00B35E29">
        <w:rPr>
          <w:rFonts w:cs="Times New Roman"/>
        </w:rPr>
        <w:t xml:space="preserve"> </w:t>
      </w:r>
      <w:r w:rsidR="008A1A5D" w:rsidRPr="00B35E29">
        <w:rPr>
          <w:rFonts w:cs="Times New Roman"/>
        </w:rPr>
        <w:t xml:space="preserve">Id., </w:t>
      </w:r>
      <w:r w:rsidRPr="00B35E29">
        <w:rPr>
          <w:rFonts w:cs="Times New Roman"/>
        </w:rPr>
        <w:t>Reg. 37.</w:t>
      </w:r>
    </w:p>
  </w:footnote>
  <w:footnote w:id="32">
    <w:p w:rsidR="009E1949" w:rsidRPr="00B35E29" w:rsidRDefault="009E1949">
      <w:pPr>
        <w:pStyle w:val="FootnoteText"/>
        <w:rPr>
          <w:rFonts w:cs="Times New Roman"/>
        </w:rPr>
      </w:pPr>
      <w:r w:rsidRPr="00B35E29">
        <w:rPr>
          <w:rStyle w:val="FootnoteReference"/>
          <w:rFonts w:cs="Times New Roman"/>
        </w:rPr>
        <w:footnoteRef/>
      </w:r>
      <w:r w:rsidRPr="00B35E29">
        <w:rPr>
          <w:rFonts w:cs="Times New Roman"/>
        </w:rPr>
        <w:t xml:space="preserve"> </w:t>
      </w:r>
      <w:r w:rsidR="008A1A5D" w:rsidRPr="00B35E29">
        <w:rPr>
          <w:rFonts w:cs="Times New Roman"/>
        </w:rPr>
        <w:t xml:space="preserve">Id., </w:t>
      </w:r>
      <w:r w:rsidRPr="00B35E29">
        <w:rPr>
          <w:rFonts w:cs="Times New Roman"/>
        </w:rPr>
        <w:t>Reg. 39(2).</w:t>
      </w:r>
    </w:p>
  </w:footnote>
  <w:footnote w:id="33">
    <w:p w:rsidR="00A90CE0" w:rsidRPr="00B35E29" w:rsidRDefault="00A90CE0" w:rsidP="00A90CE0">
      <w:pPr>
        <w:pStyle w:val="FootnoteText"/>
        <w:rPr>
          <w:rFonts w:cs="Times New Roman"/>
        </w:rPr>
      </w:pPr>
      <w:r w:rsidRPr="00B35E29">
        <w:rPr>
          <w:rStyle w:val="FootnoteReference"/>
          <w:rFonts w:cs="Times New Roman"/>
        </w:rPr>
        <w:footnoteRef/>
      </w:r>
      <w:r w:rsidRPr="00B35E29">
        <w:rPr>
          <w:rFonts w:cs="Times New Roman"/>
        </w:rPr>
        <w:t xml:space="preserve"> Id., Reg. 39(3).</w:t>
      </w:r>
    </w:p>
  </w:footnote>
  <w:footnote w:id="34">
    <w:p w:rsidR="00A90CE0" w:rsidRPr="00B35E29" w:rsidRDefault="00A90CE0" w:rsidP="00A90CE0">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note at 2, § 30(4).</w:t>
      </w:r>
    </w:p>
  </w:footnote>
  <w:footnote w:id="35">
    <w:p w:rsidR="00D0202C" w:rsidRPr="00B35E29" w:rsidRDefault="00D0202C">
      <w:pPr>
        <w:pStyle w:val="FootnoteText"/>
        <w:rPr>
          <w:rFonts w:cs="Times New Roman"/>
        </w:rPr>
      </w:pPr>
      <w:r w:rsidRPr="00B35E29">
        <w:rPr>
          <w:rStyle w:val="FootnoteReference"/>
          <w:rFonts w:cs="Times New Roman"/>
        </w:rPr>
        <w:footnoteRef/>
      </w:r>
      <w:r w:rsidRPr="00B35E29">
        <w:rPr>
          <w:rFonts w:cs="Times New Roman"/>
        </w:rPr>
        <w:t xml:space="preserve"> Id., § 31(1).</w:t>
      </w:r>
    </w:p>
  </w:footnote>
  <w:footnote w:id="36">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31(3).</w:t>
      </w:r>
    </w:p>
  </w:footnote>
  <w:footnote w:id="37">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61.</w:t>
      </w:r>
    </w:p>
  </w:footnote>
  <w:footnote w:id="38">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00362F4A" w:rsidRPr="00B35E29">
        <w:rPr>
          <w:rFonts w:cs="Times New Roman"/>
        </w:rPr>
        <w:t>note at 12</w:t>
      </w:r>
      <w:r w:rsidRPr="00B35E29">
        <w:rPr>
          <w:rFonts w:cs="Times New Roman"/>
        </w:rPr>
        <w:t>, Reg. 39(9).</w:t>
      </w:r>
    </w:p>
  </w:footnote>
  <w:footnote w:id="39">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w:t>
      </w:r>
      <w:r w:rsidRPr="00B35E29">
        <w:rPr>
          <w:rFonts w:cs="Times New Roman"/>
          <w:i/>
        </w:rPr>
        <w:t xml:space="preserve">Supra </w:t>
      </w:r>
      <w:r w:rsidRPr="00B35E29">
        <w:rPr>
          <w:rFonts w:cs="Times New Roman"/>
        </w:rPr>
        <w:t>note at 2, § 33(2).</w:t>
      </w:r>
    </w:p>
  </w:footnote>
  <w:footnote w:id="40">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33(4).</w:t>
      </w:r>
    </w:p>
  </w:footnote>
  <w:footnote w:id="41">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33(5).</w:t>
      </w:r>
    </w:p>
  </w:footnote>
  <w:footnote w:id="42">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CA(AT)(Ins) No. 318/2020.</w:t>
      </w:r>
    </w:p>
  </w:footnote>
  <w:footnote w:id="43">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36(3).</w:t>
      </w:r>
    </w:p>
  </w:footnote>
  <w:footnote w:id="44">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38(1).</w:t>
      </w:r>
    </w:p>
  </w:footnote>
  <w:footnote w:id="45">
    <w:p w:rsidR="007A4B76" w:rsidRPr="00B35E29" w:rsidRDefault="007A4B76" w:rsidP="007A4B76">
      <w:pPr>
        <w:pStyle w:val="FootnoteText"/>
        <w:rPr>
          <w:rFonts w:cs="Times New Roman"/>
        </w:rPr>
      </w:pPr>
      <w:r w:rsidRPr="00B35E29">
        <w:rPr>
          <w:rStyle w:val="FootnoteReference"/>
          <w:rFonts w:cs="Times New Roman"/>
        </w:rPr>
        <w:footnoteRef/>
      </w:r>
      <w:r w:rsidRPr="00B35E29">
        <w:rPr>
          <w:rFonts w:cs="Times New Roman"/>
        </w:rPr>
        <w:t xml:space="preserve"> Id., § 38(2).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4DF"/>
    <w:multiLevelType w:val="hybridMultilevel"/>
    <w:tmpl w:val="D75E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350D"/>
    <w:multiLevelType w:val="hybridMultilevel"/>
    <w:tmpl w:val="FFF8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A183B"/>
    <w:multiLevelType w:val="hybridMultilevel"/>
    <w:tmpl w:val="735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007BD"/>
    <w:multiLevelType w:val="hybridMultilevel"/>
    <w:tmpl w:val="06EC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E30F0"/>
    <w:multiLevelType w:val="hybridMultilevel"/>
    <w:tmpl w:val="2A7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902E5"/>
    <w:multiLevelType w:val="hybridMultilevel"/>
    <w:tmpl w:val="52D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E32C7"/>
    <w:multiLevelType w:val="hybridMultilevel"/>
    <w:tmpl w:val="4E4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E0C6D"/>
    <w:multiLevelType w:val="hybridMultilevel"/>
    <w:tmpl w:val="DE784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300B7"/>
    <w:multiLevelType w:val="hybridMultilevel"/>
    <w:tmpl w:val="59E2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76B27"/>
    <w:multiLevelType w:val="hybridMultilevel"/>
    <w:tmpl w:val="FE7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453AB"/>
    <w:multiLevelType w:val="hybridMultilevel"/>
    <w:tmpl w:val="33FC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3344A"/>
    <w:multiLevelType w:val="hybridMultilevel"/>
    <w:tmpl w:val="753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266DB"/>
    <w:multiLevelType w:val="hybridMultilevel"/>
    <w:tmpl w:val="491C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8412D"/>
    <w:multiLevelType w:val="hybridMultilevel"/>
    <w:tmpl w:val="307E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15204"/>
    <w:multiLevelType w:val="hybridMultilevel"/>
    <w:tmpl w:val="751A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FE6"/>
    <w:multiLevelType w:val="hybridMultilevel"/>
    <w:tmpl w:val="CC8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22AF3"/>
    <w:multiLevelType w:val="hybridMultilevel"/>
    <w:tmpl w:val="AE0E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A2084"/>
    <w:multiLevelType w:val="hybridMultilevel"/>
    <w:tmpl w:val="5BD0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0"/>
  </w:num>
  <w:num w:numId="5">
    <w:abstractNumId w:val="1"/>
  </w:num>
  <w:num w:numId="6">
    <w:abstractNumId w:val="8"/>
  </w:num>
  <w:num w:numId="7">
    <w:abstractNumId w:val="15"/>
  </w:num>
  <w:num w:numId="8">
    <w:abstractNumId w:val="5"/>
  </w:num>
  <w:num w:numId="9">
    <w:abstractNumId w:val="14"/>
  </w:num>
  <w:num w:numId="10">
    <w:abstractNumId w:val="13"/>
  </w:num>
  <w:num w:numId="11">
    <w:abstractNumId w:val="3"/>
  </w:num>
  <w:num w:numId="12">
    <w:abstractNumId w:val="9"/>
  </w:num>
  <w:num w:numId="13">
    <w:abstractNumId w:val="7"/>
  </w:num>
  <w:num w:numId="14">
    <w:abstractNumId w:val="17"/>
  </w:num>
  <w:num w:numId="15">
    <w:abstractNumId w:val="16"/>
  </w:num>
  <w:num w:numId="16">
    <w:abstractNumId w:val="10"/>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E7DA2"/>
    <w:rsid w:val="00025F82"/>
    <w:rsid w:val="0007599A"/>
    <w:rsid w:val="00080A7C"/>
    <w:rsid w:val="00096962"/>
    <w:rsid w:val="000B6A59"/>
    <w:rsid w:val="000B6B79"/>
    <w:rsid w:val="000D1345"/>
    <w:rsid w:val="000D6647"/>
    <w:rsid w:val="000D7B5E"/>
    <w:rsid w:val="000E2661"/>
    <w:rsid w:val="000F517D"/>
    <w:rsid w:val="001169B9"/>
    <w:rsid w:val="00124B80"/>
    <w:rsid w:val="0012615A"/>
    <w:rsid w:val="00131BC5"/>
    <w:rsid w:val="0013357E"/>
    <w:rsid w:val="00142A4D"/>
    <w:rsid w:val="00147CBD"/>
    <w:rsid w:val="001724A7"/>
    <w:rsid w:val="00175676"/>
    <w:rsid w:val="00184DF7"/>
    <w:rsid w:val="001A5EB2"/>
    <w:rsid w:val="001E5FA6"/>
    <w:rsid w:val="001F0D73"/>
    <w:rsid w:val="001F4899"/>
    <w:rsid w:val="00236C48"/>
    <w:rsid w:val="00275A12"/>
    <w:rsid w:val="0028271E"/>
    <w:rsid w:val="002B62B1"/>
    <w:rsid w:val="002C16BF"/>
    <w:rsid w:val="002D4E07"/>
    <w:rsid w:val="002F07BE"/>
    <w:rsid w:val="003316CD"/>
    <w:rsid w:val="00342820"/>
    <w:rsid w:val="00362F4A"/>
    <w:rsid w:val="00364A5B"/>
    <w:rsid w:val="00370601"/>
    <w:rsid w:val="0037367D"/>
    <w:rsid w:val="0037441E"/>
    <w:rsid w:val="003863B1"/>
    <w:rsid w:val="00391030"/>
    <w:rsid w:val="003A179F"/>
    <w:rsid w:val="003C4AF8"/>
    <w:rsid w:val="003E7DA2"/>
    <w:rsid w:val="003F02E2"/>
    <w:rsid w:val="004014F4"/>
    <w:rsid w:val="0040575E"/>
    <w:rsid w:val="00435AE8"/>
    <w:rsid w:val="0044424E"/>
    <w:rsid w:val="00462412"/>
    <w:rsid w:val="00473430"/>
    <w:rsid w:val="004852C3"/>
    <w:rsid w:val="00493E3B"/>
    <w:rsid w:val="004A6B9E"/>
    <w:rsid w:val="004A6CA1"/>
    <w:rsid w:val="004C3FD0"/>
    <w:rsid w:val="004E135B"/>
    <w:rsid w:val="004F01AB"/>
    <w:rsid w:val="004F55B2"/>
    <w:rsid w:val="004F68C9"/>
    <w:rsid w:val="005168F7"/>
    <w:rsid w:val="0052723C"/>
    <w:rsid w:val="00575638"/>
    <w:rsid w:val="005955D9"/>
    <w:rsid w:val="005958F0"/>
    <w:rsid w:val="005A0387"/>
    <w:rsid w:val="005A35F4"/>
    <w:rsid w:val="005B1173"/>
    <w:rsid w:val="005B4688"/>
    <w:rsid w:val="005D1486"/>
    <w:rsid w:val="005D1DD9"/>
    <w:rsid w:val="005D77EB"/>
    <w:rsid w:val="005F5F43"/>
    <w:rsid w:val="005F7E32"/>
    <w:rsid w:val="0060563F"/>
    <w:rsid w:val="00606F8D"/>
    <w:rsid w:val="0061469B"/>
    <w:rsid w:val="006270F4"/>
    <w:rsid w:val="00627123"/>
    <w:rsid w:val="00637656"/>
    <w:rsid w:val="00661C75"/>
    <w:rsid w:val="006746DF"/>
    <w:rsid w:val="0068416F"/>
    <w:rsid w:val="0068450D"/>
    <w:rsid w:val="00687501"/>
    <w:rsid w:val="00692A4B"/>
    <w:rsid w:val="00693524"/>
    <w:rsid w:val="006A7E48"/>
    <w:rsid w:val="006B1AD3"/>
    <w:rsid w:val="006D0B4B"/>
    <w:rsid w:val="006D1713"/>
    <w:rsid w:val="006D3477"/>
    <w:rsid w:val="006D5558"/>
    <w:rsid w:val="006F3748"/>
    <w:rsid w:val="00703685"/>
    <w:rsid w:val="00714E04"/>
    <w:rsid w:val="00721495"/>
    <w:rsid w:val="00740988"/>
    <w:rsid w:val="0075191F"/>
    <w:rsid w:val="007603C6"/>
    <w:rsid w:val="007947BA"/>
    <w:rsid w:val="007A4B76"/>
    <w:rsid w:val="007A6AE7"/>
    <w:rsid w:val="007D21AD"/>
    <w:rsid w:val="007D2E41"/>
    <w:rsid w:val="007F0397"/>
    <w:rsid w:val="00800100"/>
    <w:rsid w:val="008062A7"/>
    <w:rsid w:val="0081713F"/>
    <w:rsid w:val="00820087"/>
    <w:rsid w:val="00825142"/>
    <w:rsid w:val="00844ECB"/>
    <w:rsid w:val="008718C9"/>
    <w:rsid w:val="00887597"/>
    <w:rsid w:val="008A0008"/>
    <w:rsid w:val="008A1A5D"/>
    <w:rsid w:val="008D275A"/>
    <w:rsid w:val="008E50B5"/>
    <w:rsid w:val="009066FC"/>
    <w:rsid w:val="0093301F"/>
    <w:rsid w:val="009376D4"/>
    <w:rsid w:val="00944940"/>
    <w:rsid w:val="009526BF"/>
    <w:rsid w:val="00973C85"/>
    <w:rsid w:val="00982FBE"/>
    <w:rsid w:val="0098789F"/>
    <w:rsid w:val="009A03CB"/>
    <w:rsid w:val="009A395D"/>
    <w:rsid w:val="009C7CF2"/>
    <w:rsid w:val="009D2E04"/>
    <w:rsid w:val="009D683B"/>
    <w:rsid w:val="009E1949"/>
    <w:rsid w:val="00A15278"/>
    <w:rsid w:val="00A16064"/>
    <w:rsid w:val="00A17C38"/>
    <w:rsid w:val="00A44964"/>
    <w:rsid w:val="00A50DB0"/>
    <w:rsid w:val="00A811F8"/>
    <w:rsid w:val="00A90CE0"/>
    <w:rsid w:val="00AC2C65"/>
    <w:rsid w:val="00AF5C4C"/>
    <w:rsid w:val="00B007AE"/>
    <w:rsid w:val="00B01938"/>
    <w:rsid w:val="00B05761"/>
    <w:rsid w:val="00B30DA8"/>
    <w:rsid w:val="00B35E29"/>
    <w:rsid w:val="00B40BCE"/>
    <w:rsid w:val="00B6757D"/>
    <w:rsid w:val="00B85E46"/>
    <w:rsid w:val="00B92599"/>
    <w:rsid w:val="00BA74C1"/>
    <w:rsid w:val="00BB36D3"/>
    <w:rsid w:val="00BB7249"/>
    <w:rsid w:val="00BC09FB"/>
    <w:rsid w:val="00BC247C"/>
    <w:rsid w:val="00BC4A6E"/>
    <w:rsid w:val="00BD1551"/>
    <w:rsid w:val="00BE7FF0"/>
    <w:rsid w:val="00C20E9B"/>
    <w:rsid w:val="00C219DD"/>
    <w:rsid w:val="00C4047B"/>
    <w:rsid w:val="00C42EE1"/>
    <w:rsid w:val="00C53F0A"/>
    <w:rsid w:val="00C60B55"/>
    <w:rsid w:val="00C812CE"/>
    <w:rsid w:val="00C9171F"/>
    <w:rsid w:val="00CD2BE2"/>
    <w:rsid w:val="00CF1298"/>
    <w:rsid w:val="00CF24E3"/>
    <w:rsid w:val="00D001A9"/>
    <w:rsid w:val="00D0202C"/>
    <w:rsid w:val="00D11A5B"/>
    <w:rsid w:val="00D148AF"/>
    <w:rsid w:val="00D25FF4"/>
    <w:rsid w:val="00D26A21"/>
    <w:rsid w:val="00D52A06"/>
    <w:rsid w:val="00D744D9"/>
    <w:rsid w:val="00D91AAC"/>
    <w:rsid w:val="00DA4471"/>
    <w:rsid w:val="00DB1CAF"/>
    <w:rsid w:val="00DB7E54"/>
    <w:rsid w:val="00DC213F"/>
    <w:rsid w:val="00DC6CC1"/>
    <w:rsid w:val="00DC7C75"/>
    <w:rsid w:val="00DD03E0"/>
    <w:rsid w:val="00DD7162"/>
    <w:rsid w:val="00DD7882"/>
    <w:rsid w:val="00DE32C7"/>
    <w:rsid w:val="00DE4C2B"/>
    <w:rsid w:val="00E04053"/>
    <w:rsid w:val="00E411BD"/>
    <w:rsid w:val="00E469B3"/>
    <w:rsid w:val="00E87DCF"/>
    <w:rsid w:val="00EB0911"/>
    <w:rsid w:val="00EB10BD"/>
    <w:rsid w:val="00EC2155"/>
    <w:rsid w:val="00EE6797"/>
    <w:rsid w:val="00EE7CF2"/>
    <w:rsid w:val="00EF5D19"/>
    <w:rsid w:val="00EF6C2E"/>
    <w:rsid w:val="00F01E2B"/>
    <w:rsid w:val="00F06390"/>
    <w:rsid w:val="00F14EAC"/>
    <w:rsid w:val="00F247E5"/>
    <w:rsid w:val="00F3663A"/>
    <w:rsid w:val="00F467B6"/>
    <w:rsid w:val="00F66704"/>
    <w:rsid w:val="00F67D28"/>
    <w:rsid w:val="00F766FB"/>
    <w:rsid w:val="00F81155"/>
    <w:rsid w:val="00F97296"/>
    <w:rsid w:val="00FA62A7"/>
    <w:rsid w:val="00FB5228"/>
    <w:rsid w:val="00FC2750"/>
    <w:rsid w:val="00FF6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41"/>
  </w:style>
  <w:style w:type="paragraph" w:styleId="Heading1">
    <w:name w:val="heading 1"/>
    <w:basedOn w:val="Normal"/>
    <w:next w:val="Normal"/>
    <w:link w:val="Heading1Char"/>
    <w:uiPriority w:val="9"/>
    <w:qFormat/>
    <w:rsid w:val="00EB0911"/>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DA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60B5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C60B55"/>
    <w:rPr>
      <w:rFonts w:ascii="Times New Roman" w:hAnsi="Times New Roman"/>
      <w:sz w:val="20"/>
      <w:szCs w:val="20"/>
    </w:rPr>
  </w:style>
  <w:style w:type="character" w:styleId="FootnoteReference">
    <w:name w:val="footnote reference"/>
    <w:basedOn w:val="DefaultParagraphFont"/>
    <w:uiPriority w:val="99"/>
    <w:semiHidden/>
    <w:unhideWhenUsed/>
    <w:rsid w:val="00C60B55"/>
    <w:rPr>
      <w:vertAlign w:val="superscript"/>
    </w:rPr>
  </w:style>
  <w:style w:type="paragraph" w:styleId="ListParagraph">
    <w:name w:val="List Paragraph"/>
    <w:basedOn w:val="Normal"/>
    <w:uiPriority w:val="34"/>
    <w:qFormat/>
    <w:rsid w:val="008D275A"/>
    <w:pPr>
      <w:ind w:left="720"/>
      <w:contextualSpacing/>
      <w:jc w:val="both"/>
    </w:pPr>
    <w:rPr>
      <w:rFonts w:ascii="Times New Roman" w:hAnsi="Times New Roman"/>
      <w:sz w:val="24"/>
    </w:rPr>
  </w:style>
  <w:style w:type="character" w:customStyle="1" w:styleId="Heading1Char">
    <w:name w:val="Heading 1 Char"/>
    <w:basedOn w:val="DefaultParagraphFont"/>
    <w:link w:val="Heading1"/>
    <w:uiPriority w:val="9"/>
    <w:rsid w:val="00EB0911"/>
    <w:rPr>
      <w:rFonts w:asciiTheme="majorHAnsi" w:eastAsiaTheme="majorEastAsia" w:hAnsiTheme="majorHAnsi" w:cstheme="majorBidi"/>
      <w:b/>
      <w:bCs/>
      <w:color w:val="365F91" w:themeColor="accent1" w:themeShade="BF"/>
      <w:sz w:val="28"/>
      <w:szCs w:val="28"/>
    </w:rPr>
  </w:style>
  <w:style w:type="character" w:customStyle="1" w:styleId="default20paragraph20font">
    <w:name w:val="default_20_paragraph_20_font"/>
    <w:basedOn w:val="DefaultParagraphFont"/>
    <w:rsid w:val="00EB0911"/>
  </w:style>
  <w:style w:type="paragraph" w:styleId="BalloonText">
    <w:name w:val="Balloon Text"/>
    <w:basedOn w:val="Normal"/>
    <w:link w:val="BalloonTextChar"/>
    <w:uiPriority w:val="99"/>
    <w:semiHidden/>
    <w:unhideWhenUsed/>
    <w:rsid w:val="008E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14</Pages>
  <Words>4783</Words>
  <Characters>27268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66</cp:revision>
  <dcterms:created xsi:type="dcterms:W3CDTF">2022-02-28T16:53:00Z</dcterms:created>
  <dcterms:modified xsi:type="dcterms:W3CDTF">2022-03-01T04:53:00Z</dcterms:modified>
</cp:coreProperties>
</file>